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1"/>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3" w:hRule="atLeast"/>
        </w:trPr>
        <w:tc>
          <w:tcPr>
            <w:tcW w:w="9000" w:type="dxa"/>
            <w:noWrap w:val="0"/>
            <w:vAlign w:val="top"/>
          </w:tcPr>
          <w:p>
            <w:pPr>
              <w:tabs>
                <w:tab w:val="left" w:pos="6477"/>
              </w:tabs>
              <w:jc w:val="center"/>
              <w:rPr>
                <w:rFonts w:hint="eastAsia"/>
                <w:b/>
                <w:color w:val="auto"/>
                <w:sz w:val="36"/>
                <w:highlight w:val="none"/>
              </w:rPr>
            </w:pPr>
          </w:p>
          <w:p>
            <w:pPr>
              <w:jc w:val="center"/>
              <w:rPr>
                <w:rFonts w:hint="eastAsia"/>
                <w:color w:val="auto"/>
                <w:sz w:val="84"/>
                <w:szCs w:val="84"/>
                <w:highlight w:val="none"/>
              </w:rPr>
            </w:pPr>
            <w:r>
              <w:rPr>
                <w:rFonts w:hint="eastAsia"/>
                <w:color w:val="auto"/>
                <w:sz w:val="84"/>
                <w:szCs w:val="84"/>
                <w:highlight w:val="none"/>
              </w:rPr>
              <w:t>平  阳  县</w:t>
            </w:r>
          </w:p>
          <w:p>
            <w:pPr>
              <w:jc w:val="center"/>
              <w:rPr>
                <w:rFonts w:hint="eastAsia"/>
                <w:color w:val="auto"/>
                <w:sz w:val="72"/>
                <w:szCs w:val="72"/>
                <w:highlight w:val="none"/>
              </w:rPr>
            </w:pPr>
            <w:r>
              <w:rPr>
                <w:rFonts w:hint="eastAsia"/>
                <w:color w:val="auto"/>
                <w:sz w:val="72"/>
                <w:szCs w:val="72"/>
                <w:highlight w:val="none"/>
              </w:rPr>
              <w:t>政府采购招标文件</w:t>
            </w:r>
          </w:p>
          <w:p>
            <w:pPr>
              <w:spacing w:line="440" w:lineRule="exact"/>
              <w:ind w:left="1148"/>
              <w:jc w:val="center"/>
              <w:rPr>
                <w:rFonts w:hint="eastAsia"/>
                <w:bCs/>
                <w:color w:val="auto"/>
                <w:sz w:val="28"/>
                <w:highlight w:val="none"/>
              </w:rPr>
            </w:pPr>
            <w:r>
              <w:rPr>
                <w:rFonts w:hint="eastAsia"/>
                <w:b/>
                <w:color w:val="auto"/>
                <w:sz w:val="30"/>
                <w:highlight w:val="none"/>
              </w:rPr>
              <w:t>（线上电子招投标）</w:t>
            </w:r>
          </w:p>
          <w:p>
            <w:pPr>
              <w:spacing w:line="440" w:lineRule="exact"/>
              <w:ind w:left="1148"/>
              <w:jc w:val="center"/>
              <w:rPr>
                <w:rFonts w:hint="eastAsia"/>
                <w:bCs/>
                <w:color w:val="auto"/>
                <w:sz w:val="28"/>
                <w:highlight w:val="none"/>
              </w:rPr>
            </w:pPr>
          </w:p>
          <w:p>
            <w:pPr>
              <w:spacing w:line="440" w:lineRule="exact"/>
              <w:rPr>
                <w:rFonts w:hint="eastAsia"/>
                <w:b/>
                <w:bCs/>
                <w:color w:val="auto"/>
                <w:sz w:val="28"/>
                <w:highlight w:val="none"/>
              </w:rPr>
            </w:pPr>
            <w:r>
              <w:rPr>
                <w:rFonts w:hint="eastAsia"/>
                <w:b/>
                <w:bCs/>
                <w:color w:val="auto"/>
                <w:sz w:val="28"/>
                <w:highlight w:val="none"/>
              </w:rPr>
              <w:t xml:space="preserve">                                         </w:t>
            </w:r>
          </w:p>
          <w:p>
            <w:pPr>
              <w:tabs>
                <w:tab w:val="left" w:pos="2019"/>
              </w:tabs>
              <w:ind w:left="3643" w:leftChars="873" w:hanging="1548" w:hangingChars="514"/>
              <w:rPr>
                <w:rFonts w:hint="eastAsia" w:eastAsia="宋体"/>
                <w:b/>
                <w:color w:val="auto"/>
                <w:sz w:val="30"/>
                <w:szCs w:val="30"/>
                <w:highlight w:val="none"/>
                <w:lang w:eastAsia="zh-CN"/>
              </w:rPr>
            </w:pPr>
            <w:r>
              <w:rPr>
                <w:rFonts w:hint="eastAsia"/>
                <w:b/>
                <w:color w:val="auto"/>
                <w:sz w:val="30"/>
                <w:szCs w:val="30"/>
                <w:highlight w:val="none"/>
              </w:rPr>
              <w:t>项目名称：</w:t>
            </w:r>
            <w:r>
              <w:rPr>
                <w:rFonts w:hint="eastAsia"/>
                <w:b/>
                <w:color w:val="auto"/>
                <w:sz w:val="30"/>
                <w:highlight w:val="none"/>
                <w:lang w:eastAsia="zh-CN"/>
              </w:rPr>
              <w:t>平阳县人民医院后勤综合管控系统</w:t>
            </w:r>
          </w:p>
          <w:p>
            <w:pPr>
              <w:snapToGrid w:val="0"/>
              <w:spacing w:line="460" w:lineRule="exact"/>
              <w:ind w:firstLine="590" w:firstLineChars="196"/>
              <w:rPr>
                <w:rFonts w:hint="eastAsia"/>
                <w:b/>
                <w:color w:val="auto"/>
                <w:sz w:val="30"/>
                <w:szCs w:val="30"/>
                <w:highlight w:val="none"/>
              </w:rPr>
            </w:pPr>
            <w:r>
              <w:rPr>
                <w:rFonts w:hint="eastAsia"/>
                <w:b/>
                <w:color w:val="auto"/>
                <w:sz w:val="30"/>
                <w:szCs w:val="30"/>
                <w:highlight w:val="none"/>
              </w:rPr>
              <w:t xml:space="preserve">          招标编号：</w:t>
            </w:r>
            <w:r>
              <w:rPr>
                <w:b/>
                <w:color w:val="auto"/>
                <w:sz w:val="30"/>
                <w:szCs w:val="30"/>
                <w:highlight w:val="none"/>
              </w:rPr>
              <w:t>PYCG20</w:t>
            </w:r>
          </w:p>
          <w:p>
            <w:pPr>
              <w:snapToGrid w:val="0"/>
              <w:spacing w:line="460" w:lineRule="exact"/>
              <w:ind w:firstLine="590" w:firstLineChars="196"/>
              <w:rPr>
                <w:rFonts w:hint="eastAsia"/>
                <w:b/>
                <w:color w:val="auto"/>
                <w:sz w:val="30"/>
                <w:szCs w:val="30"/>
                <w:highlight w:val="none"/>
              </w:rPr>
            </w:pPr>
            <w:r>
              <w:rPr>
                <w:rFonts w:hint="eastAsia"/>
                <w:b/>
                <w:color w:val="auto"/>
                <w:sz w:val="30"/>
                <w:szCs w:val="30"/>
                <w:highlight w:val="none"/>
              </w:rPr>
              <w:t xml:space="preserve">   </w:t>
            </w:r>
            <w:r>
              <w:rPr>
                <w:b/>
                <w:color w:val="auto"/>
                <w:sz w:val="30"/>
                <w:szCs w:val="30"/>
                <w:highlight w:val="none"/>
              </w:rPr>
              <w:t xml:space="preserve"> </w:t>
            </w:r>
            <w:r>
              <w:rPr>
                <w:rFonts w:hint="eastAsia"/>
                <w:b/>
                <w:color w:val="auto"/>
                <w:sz w:val="30"/>
                <w:szCs w:val="30"/>
                <w:highlight w:val="none"/>
              </w:rPr>
              <w:t xml:space="preserve"> </w:t>
            </w:r>
          </w:p>
          <w:p>
            <w:pPr>
              <w:spacing w:line="440" w:lineRule="exact"/>
              <w:ind w:left="1440" w:leftChars="600" w:firstLine="904" w:firstLineChars="300"/>
              <w:rPr>
                <w:rFonts w:hint="eastAsia"/>
                <w:b/>
                <w:color w:val="auto"/>
                <w:sz w:val="30"/>
                <w:szCs w:val="30"/>
                <w:highlight w:val="none"/>
              </w:rPr>
            </w:pPr>
            <w:r>
              <w:rPr>
                <w:rFonts w:hint="eastAsia"/>
                <w:b/>
                <w:color w:val="auto"/>
                <w:sz w:val="30"/>
                <w:szCs w:val="30"/>
                <w:highlight w:val="none"/>
              </w:rPr>
              <w:t xml:space="preserve">                                        </w:t>
            </w:r>
          </w:p>
          <w:p>
            <w:pPr>
              <w:spacing w:line="440" w:lineRule="exact"/>
              <w:ind w:left="1440" w:leftChars="600" w:firstLine="904" w:firstLineChars="300"/>
              <w:rPr>
                <w:rFonts w:hint="eastAsia"/>
                <w:b/>
                <w:color w:val="auto"/>
                <w:sz w:val="30"/>
                <w:szCs w:val="30"/>
                <w:highlight w:val="none"/>
              </w:rPr>
            </w:pPr>
            <w:r>
              <w:rPr>
                <w:rFonts w:hint="eastAsia"/>
                <w:b/>
                <w:color w:val="auto"/>
                <w:sz w:val="30"/>
                <w:szCs w:val="30"/>
                <w:highlight w:val="none"/>
              </w:rPr>
              <w:t xml:space="preserve">     </w:t>
            </w:r>
          </w:p>
          <w:p>
            <w:pPr>
              <w:spacing w:line="440" w:lineRule="exact"/>
              <w:ind w:firstLine="2117" w:firstLineChars="703"/>
              <w:rPr>
                <w:rFonts w:hint="eastAsia"/>
                <w:b/>
                <w:color w:val="auto"/>
                <w:sz w:val="30"/>
                <w:highlight w:val="none"/>
              </w:rPr>
            </w:pPr>
            <w:r>
              <w:rPr>
                <w:rFonts w:hint="eastAsia"/>
                <w:b/>
                <w:color w:val="auto"/>
                <w:sz w:val="30"/>
                <w:highlight w:val="none"/>
              </w:rPr>
              <w:t>采 购 人：平阳县人民医院</w:t>
            </w:r>
          </w:p>
          <w:p>
            <w:pPr>
              <w:spacing w:line="440" w:lineRule="exact"/>
              <w:ind w:firstLine="2117" w:firstLineChars="703"/>
              <w:rPr>
                <w:rFonts w:hint="eastAsia"/>
                <w:b/>
                <w:color w:val="auto"/>
                <w:sz w:val="30"/>
                <w:highlight w:val="none"/>
              </w:rPr>
            </w:pPr>
            <w:r>
              <w:rPr>
                <w:rFonts w:hint="eastAsia"/>
                <w:b/>
                <w:color w:val="auto"/>
                <w:sz w:val="30"/>
                <w:highlight w:val="none"/>
              </w:rPr>
              <w:t xml:space="preserve">联 系 人: </w:t>
            </w:r>
            <w:r>
              <w:rPr>
                <w:rFonts w:hint="eastAsia"/>
                <w:b/>
                <w:color w:val="auto"/>
                <w:sz w:val="30"/>
                <w:highlight w:val="none"/>
                <w:lang w:val="en-US" w:eastAsia="zh-CN"/>
              </w:rPr>
              <w:t>岳</w:t>
            </w:r>
            <w:r>
              <w:rPr>
                <w:rFonts w:hint="eastAsia"/>
                <w:b/>
                <w:color w:val="auto"/>
                <w:sz w:val="30"/>
                <w:highlight w:val="none"/>
              </w:rPr>
              <w:t>先生</w:t>
            </w:r>
          </w:p>
          <w:p>
            <w:pPr>
              <w:spacing w:line="440" w:lineRule="exact"/>
              <w:ind w:firstLine="2117" w:firstLineChars="703"/>
              <w:rPr>
                <w:rFonts w:hint="eastAsia" w:eastAsia="宋体"/>
                <w:b/>
                <w:color w:val="auto"/>
                <w:sz w:val="30"/>
                <w:highlight w:val="none"/>
                <w:lang w:eastAsia="zh-CN"/>
              </w:rPr>
            </w:pPr>
            <w:r>
              <w:rPr>
                <w:rFonts w:hint="eastAsia"/>
                <w:b/>
                <w:color w:val="auto"/>
                <w:sz w:val="30"/>
                <w:highlight w:val="none"/>
              </w:rPr>
              <w:t>联系电话：0577-63730213</w:t>
            </w:r>
          </w:p>
          <w:p>
            <w:pPr>
              <w:spacing w:line="440" w:lineRule="exact"/>
              <w:ind w:firstLine="2117" w:firstLineChars="703"/>
              <w:rPr>
                <w:rFonts w:hint="eastAsia"/>
                <w:b/>
                <w:color w:val="auto"/>
                <w:sz w:val="30"/>
                <w:szCs w:val="30"/>
                <w:highlight w:val="none"/>
              </w:rPr>
            </w:pPr>
            <w:r>
              <w:rPr>
                <w:rFonts w:hint="eastAsia"/>
                <w:b/>
                <w:color w:val="auto"/>
                <w:sz w:val="30"/>
                <w:highlight w:val="none"/>
              </w:rPr>
              <w:t>联系</w:t>
            </w:r>
            <w:r>
              <w:rPr>
                <w:rFonts w:hint="eastAsia"/>
                <w:b/>
                <w:color w:val="auto"/>
                <w:sz w:val="30"/>
                <w:highlight w:val="none"/>
                <w:lang w:val="en-US" w:eastAsia="zh-CN"/>
              </w:rPr>
              <w:t>传真</w:t>
            </w:r>
            <w:r>
              <w:rPr>
                <w:rFonts w:hint="eastAsia"/>
                <w:b/>
                <w:color w:val="auto"/>
                <w:sz w:val="30"/>
                <w:highlight w:val="none"/>
              </w:rPr>
              <w:t>：0577-63730213</w:t>
            </w:r>
          </w:p>
          <w:p>
            <w:pPr>
              <w:spacing w:line="440" w:lineRule="exact"/>
              <w:ind w:left="1148"/>
              <w:rPr>
                <w:rFonts w:hint="eastAsia"/>
                <w:b/>
                <w:color w:val="auto"/>
                <w:sz w:val="30"/>
                <w:szCs w:val="30"/>
                <w:highlight w:val="none"/>
              </w:rPr>
            </w:pPr>
            <w:r>
              <w:rPr>
                <w:rFonts w:hint="eastAsia"/>
                <w:b/>
                <w:color w:val="auto"/>
                <w:sz w:val="30"/>
                <w:szCs w:val="30"/>
                <w:highlight w:val="none"/>
              </w:rPr>
              <w:t xml:space="preserve">          </w:t>
            </w:r>
          </w:p>
          <w:p>
            <w:pPr>
              <w:spacing w:line="440" w:lineRule="exact"/>
              <w:ind w:left="1148"/>
              <w:rPr>
                <w:rFonts w:hint="eastAsia"/>
                <w:b/>
                <w:color w:val="auto"/>
                <w:sz w:val="30"/>
                <w:szCs w:val="30"/>
                <w:highlight w:val="none"/>
              </w:rPr>
            </w:pPr>
            <w:r>
              <w:rPr>
                <w:rFonts w:hint="eastAsia"/>
                <w:b/>
                <w:color w:val="auto"/>
                <w:sz w:val="30"/>
                <w:szCs w:val="30"/>
                <w:highlight w:val="none"/>
              </w:rPr>
              <w:t xml:space="preserve">                 </w:t>
            </w:r>
          </w:p>
          <w:p>
            <w:pPr>
              <w:spacing w:line="440" w:lineRule="exact"/>
              <w:jc w:val="center"/>
              <w:rPr>
                <w:rFonts w:hint="eastAsia"/>
                <w:b/>
                <w:color w:val="auto"/>
                <w:sz w:val="30"/>
                <w:szCs w:val="30"/>
                <w:highlight w:val="none"/>
              </w:rPr>
            </w:pPr>
            <w:r>
              <w:rPr>
                <w:rFonts w:hint="eastAsia"/>
                <w:b/>
                <w:color w:val="auto"/>
                <w:sz w:val="30"/>
                <w:szCs w:val="30"/>
                <w:highlight w:val="none"/>
              </w:rPr>
              <w:t xml:space="preserve">   </w:t>
            </w:r>
          </w:p>
          <w:p>
            <w:pPr>
              <w:spacing w:line="440" w:lineRule="exact"/>
              <w:ind w:firstLine="2117" w:firstLineChars="703"/>
              <w:rPr>
                <w:rFonts w:hint="eastAsia"/>
                <w:b/>
                <w:color w:val="auto"/>
                <w:sz w:val="30"/>
                <w:highlight w:val="none"/>
              </w:rPr>
            </w:pPr>
            <w:r>
              <w:rPr>
                <w:rFonts w:hint="eastAsia"/>
                <w:b/>
                <w:color w:val="auto"/>
                <w:sz w:val="30"/>
                <w:highlight w:val="none"/>
              </w:rPr>
              <w:t>代理机构:浙江名进建设项目管理有限公司</w:t>
            </w:r>
          </w:p>
          <w:p>
            <w:pPr>
              <w:spacing w:line="440" w:lineRule="exact"/>
              <w:ind w:firstLine="2117" w:firstLineChars="703"/>
              <w:rPr>
                <w:rFonts w:hint="eastAsia"/>
                <w:b/>
                <w:color w:val="auto"/>
                <w:sz w:val="30"/>
                <w:highlight w:val="none"/>
              </w:rPr>
            </w:pPr>
            <w:r>
              <w:rPr>
                <w:rFonts w:hint="eastAsia"/>
                <w:b/>
                <w:color w:val="auto"/>
                <w:sz w:val="30"/>
                <w:highlight w:val="none"/>
              </w:rPr>
              <w:t xml:space="preserve">联 系 人:周女士 </w:t>
            </w:r>
          </w:p>
          <w:p>
            <w:pPr>
              <w:spacing w:line="440" w:lineRule="exact"/>
              <w:ind w:firstLine="2117" w:firstLineChars="703"/>
              <w:rPr>
                <w:rFonts w:hint="eastAsia"/>
                <w:b/>
                <w:color w:val="auto"/>
                <w:sz w:val="30"/>
                <w:highlight w:val="none"/>
              </w:rPr>
            </w:pPr>
            <w:r>
              <w:rPr>
                <w:rFonts w:hint="eastAsia"/>
                <w:b/>
                <w:color w:val="auto"/>
                <w:sz w:val="30"/>
                <w:highlight w:val="none"/>
              </w:rPr>
              <w:t>联系电话:0577-63639288</w:t>
            </w:r>
          </w:p>
          <w:p>
            <w:pPr>
              <w:spacing w:line="440" w:lineRule="exact"/>
              <w:ind w:firstLine="2117" w:firstLineChars="703"/>
              <w:rPr>
                <w:rFonts w:hint="eastAsia"/>
                <w:b/>
                <w:color w:val="auto"/>
                <w:sz w:val="30"/>
                <w:highlight w:val="none"/>
              </w:rPr>
            </w:pPr>
            <w:r>
              <w:rPr>
                <w:rFonts w:hint="eastAsia"/>
                <w:b/>
                <w:color w:val="auto"/>
                <w:sz w:val="30"/>
                <w:highlight w:val="none"/>
              </w:rPr>
              <w:t>联系传真:0577-63639288</w:t>
            </w:r>
          </w:p>
          <w:p>
            <w:pPr>
              <w:pStyle w:val="12"/>
              <w:widowControl w:val="0"/>
              <w:ind w:left="0" w:leftChars="0"/>
              <w:jc w:val="center"/>
              <w:rPr>
                <w:rFonts w:hint="eastAsia"/>
                <w:b/>
                <w:color w:val="auto"/>
                <w:kern w:val="2"/>
                <w:sz w:val="30"/>
                <w:szCs w:val="30"/>
                <w:highlight w:val="none"/>
              </w:rPr>
            </w:pPr>
            <w:r>
              <w:rPr>
                <w:rFonts w:hint="eastAsia"/>
                <w:b/>
                <w:color w:val="auto"/>
                <w:kern w:val="2"/>
                <w:sz w:val="30"/>
                <w:szCs w:val="30"/>
                <w:highlight w:val="none"/>
              </w:rPr>
              <w:t xml:space="preserve">    </w:t>
            </w:r>
          </w:p>
          <w:p>
            <w:pPr>
              <w:pStyle w:val="12"/>
              <w:widowControl w:val="0"/>
              <w:ind w:left="0" w:leftChars="0"/>
              <w:jc w:val="center"/>
              <w:rPr>
                <w:rFonts w:hint="eastAsia"/>
                <w:b/>
                <w:color w:val="auto"/>
                <w:kern w:val="2"/>
                <w:sz w:val="30"/>
                <w:szCs w:val="30"/>
                <w:highlight w:val="none"/>
              </w:rPr>
            </w:pPr>
          </w:p>
          <w:p>
            <w:pPr>
              <w:pStyle w:val="12"/>
              <w:widowControl w:val="0"/>
              <w:ind w:left="0" w:leftChars="0"/>
              <w:jc w:val="center"/>
              <w:rPr>
                <w:rFonts w:hint="eastAsia"/>
                <w:b/>
                <w:color w:val="auto"/>
                <w:kern w:val="2"/>
                <w:sz w:val="84"/>
                <w:highlight w:val="none"/>
              </w:rPr>
            </w:pPr>
            <w:r>
              <w:rPr>
                <w:rFonts w:hint="eastAsia"/>
                <w:b/>
                <w:color w:val="auto"/>
                <w:kern w:val="2"/>
                <w:sz w:val="30"/>
                <w:szCs w:val="30"/>
                <w:highlight w:val="none"/>
              </w:rPr>
              <w:t>二零二零年十</w:t>
            </w:r>
            <w:r>
              <w:rPr>
                <w:rFonts w:hint="eastAsia"/>
                <w:b/>
                <w:color w:val="auto"/>
                <w:kern w:val="2"/>
                <w:sz w:val="30"/>
                <w:szCs w:val="30"/>
                <w:highlight w:val="none"/>
                <w:lang w:val="en-US" w:eastAsia="zh-CN"/>
              </w:rPr>
              <w:t>二</w:t>
            </w:r>
            <w:r>
              <w:rPr>
                <w:rFonts w:hint="eastAsia"/>
                <w:b/>
                <w:color w:val="auto"/>
                <w:kern w:val="2"/>
                <w:sz w:val="30"/>
                <w:szCs w:val="30"/>
                <w:highlight w:val="none"/>
              </w:rPr>
              <w:t>月</w:t>
            </w:r>
          </w:p>
        </w:tc>
      </w:tr>
    </w:tbl>
    <w:p>
      <w:pPr>
        <w:tabs>
          <w:tab w:val="left" w:pos="2019"/>
        </w:tabs>
        <w:jc w:val="center"/>
        <w:rPr>
          <w:rFonts w:hint="eastAsia"/>
          <w:b/>
          <w:bCs/>
          <w:color w:val="auto"/>
          <w:sz w:val="32"/>
          <w:szCs w:val="32"/>
          <w:highlight w:val="none"/>
        </w:rPr>
      </w:pPr>
      <w:r>
        <w:rPr>
          <w:rFonts w:hint="eastAsia"/>
          <w:b/>
          <w:bCs/>
          <w:color w:val="auto"/>
          <w:sz w:val="32"/>
          <w:szCs w:val="32"/>
          <w:highlight w:val="none"/>
        </w:rPr>
        <w:t>浙江名进建设项目管理有限公司关于</w:t>
      </w:r>
      <w:r>
        <w:rPr>
          <w:rFonts w:hint="eastAsia"/>
          <w:b/>
          <w:bCs/>
          <w:color w:val="auto"/>
          <w:sz w:val="32"/>
          <w:szCs w:val="32"/>
          <w:highlight w:val="none"/>
          <w:lang w:eastAsia="zh-CN"/>
        </w:rPr>
        <w:t>平阳县人民医院后勤综合管控系统</w:t>
      </w:r>
      <w:r>
        <w:rPr>
          <w:rFonts w:hint="eastAsia"/>
          <w:b/>
          <w:bCs/>
          <w:color w:val="auto"/>
          <w:sz w:val="32"/>
          <w:szCs w:val="32"/>
          <w:highlight w:val="none"/>
        </w:rPr>
        <w:t>公开招标的公告</w:t>
      </w:r>
    </w:p>
    <w:p>
      <w:pPr>
        <w:tabs>
          <w:tab w:val="left" w:pos="0"/>
        </w:tabs>
        <w:spacing w:line="460" w:lineRule="exact"/>
        <w:ind w:left="2" w:firstLine="2"/>
        <w:jc w:val="center"/>
        <w:rPr>
          <w:rFonts w:hint="eastAsia"/>
          <w:b/>
          <w:bCs/>
          <w:color w:val="auto"/>
          <w:sz w:val="32"/>
          <w:szCs w:val="32"/>
          <w:highlight w:val="none"/>
        </w:rPr>
      </w:pPr>
      <w:r>
        <w:rPr>
          <w:rFonts w:hint="eastAsia"/>
          <w:b/>
          <w:bCs/>
          <w:color w:val="auto"/>
          <w:sz w:val="32"/>
          <w:szCs w:val="32"/>
          <w:highlight w:val="none"/>
        </w:rPr>
        <w:t>（线上电子招投标）</w:t>
      </w:r>
    </w:p>
    <w:p>
      <w:pPr>
        <w:tabs>
          <w:tab w:val="left" w:pos="0"/>
        </w:tabs>
        <w:spacing w:line="460" w:lineRule="exact"/>
        <w:ind w:left="2" w:firstLine="2"/>
        <w:jc w:val="center"/>
        <w:rPr>
          <w:rFonts w:hint="eastAsia"/>
          <w:b/>
          <w:bCs/>
          <w:color w:val="auto"/>
          <w:sz w:val="32"/>
          <w:szCs w:val="32"/>
          <w:highlight w:val="none"/>
        </w:rPr>
      </w:pPr>
      <w:r>
        <w:rPr>
          <w:rFonts w:hint="eastAsia"/>
          <w:b/>
          <w:bCs/>
          <w:color w:val="auto"/>
          <w:sz w:val="28"/>
          <w:szCs w:val="28"/>
          <w:highlight w:val="none"/>
        </w:rPr>
        <w:t>公告日期：</w:t>
      </w:r>
      <w:r>
        <w:rPr>
          <w:b/>
          <w:bCs/>
          <w:color w:val="auto"/>
          <w:sz w:val="28"/>
          <w:szCs w:val="28"/>
          <w:highlight w:val="none"/>
        </w:rPr>
        <w:t>20</w:t>
      </w:r>
      <w:r>
        <w:rPr>
          <w:rFonts w:hint="eastAsia"/>
          <w:b/>
          <w:bCs/>
          <w:color w:val="auto"/>
          <w:sz w:val="28"/>
          <w:szCs w:val="28"/>
          <w:highlight w:val="none"/>
        </w:rPr>
        <w:t>20年 月 日</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项目概况</w:t>
      </w:r>
      <w:r>
        <w:rPr>
          <w:rFonts w:ascii="宋体" w:hAnsi="宋体" w:cs="Times New Roman"/>
          <w:bCs/>
          <w:color w:val="auto"/>
          <w:sz w:val="22"/>
          <w:szCs w:val="22"/>
          <w:highlight w:val="none"/>
        </w:rPr>
        <w:t xml:space="preserve">                                                    </w:t>
      </w:r>
    </w:p>
    <w:p>
      <w:pPr>
        <w:pStyle w:val="18"/>
        <w:shd w:val="clear" w:color="auto" w:fill="FFFFFF"/>
        <w:spacing w:before="0" w:beforeAutospacing="0" w:after="0" w:afterAutospacing="0" w:line="460" w:lineRule="exact"/>
        <w:ind w:firstLine="660" w:firstLineChars="300"/>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lang w:eastAsia="zh-CN"/>
        </w:rPr>
        <w:t>平阳县人民医院后勤综合管控系统项目</w:t>
      </w:r>
      <w:r>
        <w:rPr>
          <w:rFonts w:ascii="宋体" w:hAnsi="宋体" w:cs="Times New Roman"/>
          <w:bCs/>
          <w:color w:val="auto"/>
          <w:sz w:val="22"/>
          <w:szCs w:val="22"/>
          <w:highlight w:val="none"/>
        </w:rPr>
        <w:t>的潜在投标人应在政采云平台（http://zfcg.czt.zj.gov.cn）获取（下载）招标文件，并于 2020年</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月</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 xml:space="preserve">日 09:30（北京时间）前递交（上传）投标文件。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一、项目基本情况</w:t>
      </w:r>
      <w:r>
        <w:rPr>
          <w:rFonts w:ascii="宋体" w:hAnsi="宋体" w:cs="Times New Roman"/>
          <w:bCs/>
          <w:color w:val="auto"/>
          <w:sz w:val="22"/>
          <w:szCs w:val="22"/>
          <w:highlight w:val="none"/>
        </w:rPr>
        <w:t xml:space="preserve">                                            </w:t>
      </w:r>
    </w:p>
    <w:p>
      <w:pPr>
        <w:pStyle w:val="18"/>
        <w:shd w:val="clear" w:color="auto" w:fill="FFFFFF"/>
        <w:spacing w:before="0" w:beforeAutospacing="0" w:after="0" w:afterAutospacing="0" w:line="460" w:lineRule="exact"/>
        <w:jc w:val="both"/>
        <w:rPr>
          <w:rFonts w:hint="eastAsia" w:ascii="宋体" w:hAnsi="宋体" w:cs="Times New Roman"/>
          <w:bCs/>
          <w:color w:val="auto"/>
          <w:sz w:val="22"/>
          <w:szCs w:val="22"/>
          <w:highlight w:val="none"/>
        </w:rPr>
      </w:pPr>
      <w:r>
        <w:rPr>
          <w:rFonts w:ascii="宋体" w:hAnsi="宋体" w:cs="Times New Roman"/>
          <w:bCs/>
          <w:color w:val="auto"/>
          <w:sz w:val="22"/>
          <w:szCs w:val="22"/>
          <w:highlight w:val="none"/>
        </w:rPr>
        <w:t xml:space="preserve">    项目编号：</w:t>
      </w:r>
      <w:r>
        <w:rPr>
          <w:rFonts w:hint="eastAsia" w:ascii="宋体" w:hAnsi="宋体" w:cs="Times New Roman"/>
          <w:bCs/>
          <w:color w:val="auto"/>
          <w:sz w:val="22"/>
          <w:szCs w:val="22"/>
          <w:highlight w:val="none"/>
        </w:rPr>
        <w:t>PYCG20</w:t>
      </w:r>
    </w:p>
    <w:p>
      <w:pPr>
        <w:pStyle w:val="18"/>
        <w:shd w:val="clear" w:color="auto" w:fill="FFFFFF"/>
        <w:spacing w:before="0" w:beforeAutospacing="0" w:after="0" w:afterAutospacing="0" w:line="460" w:lineRule="exact"/>
        <w:jc w:val="both"/>
        <w:rPr>
          <w:rFonts w:hint="eastAsia" w:ascii="宋体" w:hAnsi="宋体" w:eastAsia="宋体" w:cs="Times New Roman"/>
          <w:bCs/>
          <w:color w:val="auto"/>
          <w:sz w:val="22"/>
          <w:szCs w:val="22"/>
          <w:highlight w:val="none"/>
          <w:lang w:eastAsia="zh-CN"/>
        </w:rPr>
      </w:pPr>
      <w:r>
        <w:rPr>
          <w:rFonts w:ascii="宋体" w:hAnsi="宋体" w:cs="Times New Roman"/>
          <w:bCs/>
          <w:color w:val="auto"/>
          <w:sz w:val="22"/>
          <w:szCs w:val="22"/>
          <w:highlight w:val="none"/>
        </w:rPr>
        <w:t xml:space="preserve">    项目名称：</w:t>
      </w:r>
      <w:r>
        <w:rPr>
          <w:rFonts w:hint="eastAsia" w:ascii="宋体" w:hAnsi="宋体" w:cs="Times New Roman"/>
          <w:bCs/>
          <w:color w:val="auto"/>
          <w:sz w:val="22"/>
          <w:szCs w:val="22"/>
          <w:highlight w:val="none"/>
          <w:lang w:eastAsia="zh-CN"/>
        </w:rPr>
        <w:t>平阳县人民医院后勤综合管控系统项目</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预算金额（元）：</w:t>
      </w:r>
      <w:r>
        <w:rPr>
          <w:rFonts w:hint="eastAsia" w:ascii="宋体" w:hAnsi="宋体" w:cs="Times New Roman"/>
          <w:bCs/>
          <w:color w:val="auto"/>
          <w:sz w:val="22"/>
          <w:szCs w:val="22"/>
          <w:highlight w:val="none"/>
          <w:lang w:val="en-US" w:eastAsia="zh-CN"/>
        </w:rPr>
        <w:t>48</w:t>
      </w:r>
      <w:r>
        <w:rPr>
          <w:rFonts w:hint="eastAsia" w:ascii="宋体" w:hAnsi="宋体" w:cs="Times New Roman"/>
          <w:bCs/>
          <w:color w:val="auto"/>
          <w:sz w:val="22"/>
          <w:szCs w:val="22"/>
          <w:highlight w:val="none"/>
        </w:rPr>
        <w:t>00000</w:t>
      </w:r>
      <w:r>
        <w:rPr>
          <w:rFonts w:ascii="宋体" w:hAnsi="宋体" w:cs="Times New Roman"/>
          <w:bCs/>
          <w:color w:val="auto"/>
          <w:sz w:val="22"/>
          <w:szCs w:val="22"/>
          <w:highlight w:val="none"/>
        </w:rPr>
        <w:t xml:space="preserve">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最高限价（元）：</w:t>
      </w:r>
      <w:r>
        <w:rPr>
          <w:rFonts w:hint="eastAsia" w:ascii="宋体" w:hAnsi="宋体" w:cs="Times New Roman"/>
          <w:bCs/>
          <w:color w:val="auto"/>
          <w:sz w:val="22"/>
          <w:szCs w:val="22"/>
          <w:highlight w:val="none"/>
          <w:lang w:val="en-US" w:eastAsia="zh-CN"/>
        </w:rPr>
        <w:t>4800000</w:t>
      </w:r>
      <w:r>
        <w:rPr>
          <w:rFonts w:ascii="宋体" w:hAnsi="宋体" w:cs="Times New Roman"/>
          <w:bCs/>
          <w:color w:val="auto"/>
          <w:sz w:val="22"/>
          <w:szCs w:val="22"/>
          <w:highlight w:val="none"/>
        </w:rPr>
        <w:t xml:space="preserve">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采购需求：</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标项一:</w:t>
      </w:r>
    </w:p>
    <w:p>
      <w:pPr>
        <w:pStyle w:val="18"/>
        <w:shd w:val="clear" w:color="auto" w:fill="FFFFFF"/>
        <w:spacing w:before="0" w:beforeAutospacing="0" w:after="0" w:afterAutospacing="0" w:line="460" w:lineRule="exact"/>
        <w:ind w:firstLine="440" w:firstLineChars="200"/>
        <w:jc w:val="both"/>
        <w:rPr>
          <w:rFonts w:hint="eastAsia" w:ascii="宋体" w:hAnsi="宋体" w:cs="Times New Roman"/>
          <w:bCs/>
          <w:color w:val="auto"/>
          <w:sz w:val="22"/>
          <w:szCs w:val="22"/>
          <w:highlight w:val="none"/>
          <w:lang w:val="en-US" w:eastAsia="zh-CN"/>
        </w:rPr>
      </w:pPr>
      <w:r>
        <w:rPr>
          <w:rFonts w:ascii="宋体" w:hAnsi="宋体" w:cs="Times New Roman"/>
          <w:bCs/>
          <w:color w:val="auto"/>
          <w:sz w:val="22"/>
          <w:szCs w:val="22"/>
          <w:highlight w:val="none"/>
          <w:lang w:val="en-US" w:eastAsia="zh-CN"/>
        </w:rPr>
        <w:t xml:space="preserve">标项名称: </w:t>
      </w:r>
      <w:r>
        <w:rPr>
          <w:rFonts w:hint="eastAsia" w:ascii="宋体" w:hAnsi="宋体" w:cs="Times New Roman"/>
          <w:bCs/>
          <w:color w:val="auto"/>
          <w:sz w:val="22"/>
          <w:szCs w:val="22"/>
          <w:highlight w:val="none"/>
          <w:lang w:val="en-US" w:eastAsia="zh-CN"/>
        </w:rPr>
        <w:t>平阳县人民医院后勤综合管控系统项目</w:t>
      </w:r>
    </w:p>
    <w:p>
      <w:pPr>
        <w:pStyle w:val="18"/>
        <w:shd w:val="clear" w:color="auto" w:fill="FFFFFF"/>
        <w:spacing w:before="0" w:beforeAutospacing="0" w:after="0" w:afterAutospacing="0" w:line="460" w:lineRule="exact"/>
        <w:ind w:firstLine="440" w:firstLineChars="200"/>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数量: </w:t>
      </w:r>
      <w:r>
        <w:rPr>
          <w:rFonts w:hint="eastAsia" w:ascii="宋体" w:hAnsi="宋体" w:cs="Times New Roman"/>
          <w:bCs/>
          <w:color w:val="auto"/>
          <w:sz w:val="22"/>
          <w:szCs w:val="22"/>
          <w:highlight w:val="none"/>
        </w:rPr>
        <w:t>1</w:t>
      </w:r>
      <w:r>
        <w:rPr>
          <w:rFonts w:ascii="宋体" w:hAnsi="宋体" w:cs="Times New Roman"/>
          <w:bCs/>
          <w:color w:val="auto"/>
          <w:sz w:val="22"/>
          <w:szCs w:val="22"/>
          <w:highlight w:val="none"/>
        </w:rPr>
        <w:t xml:space="preserve">  </w:t>
      </w:r>
    </w:p>
    <w:p>
      <w:pPr>
        <w:pStyle w:val="18"/>
        <w:shd w:val="clear" w:color="auto" w:fill="FFFFFF"/>
        <w:spacing w:before="0" w:beforeAutospacing="0" w:after="0" w:afterAutospacing="0" w:line="460" w:lineRule="exact"/>
        <w:ind w:firstLine="440" w:firstLineChars="200"/>
        <w:jc w:val="both"/>
        <w:rPr>
          <w:rFonts w:hint="eastAsia" w:ascii="宋体" w:hAnsi="宋体" w:cs="Times New Roman"/>
          <w:bCs/>
          <w:color w:val="auto"/>
          <w:sz w:val="22"/>
          <w:szCs w:val="22"/>
          <w:highlight w:val="none"/>
          <w:lang w:val="en-US" w:eastAsia="zh-CN"/>
        </w:rPr>
      </w:pPr>
      <w:r>
        <w:rPr>
          <w:rFonts w:ascii="宋体" w:hAnsi="宋体" w:cs="Times New Roman"/>
          <w:bCs/>
          <w:color w:val="auto"/>
          <w:sz w:val="22"/>
          <w:szCs w:val="22"/>
          <w:highlight w:val="none"/>
        </w:rPr>
        <w:t xml:space="preserve">预算金额（元）: </w:t>
      </w:r>
      <w:r>
        <w:rPr>
          <w:rFonts w:hint="eastAsia" w:ascii="宋体" w:hAnsi="宋体" w:cs="Times New Roman"/>
          <w:bCs/>
          <w:color w:val="auto"/>
          <w:sz w:val="22"/>
          <w:szCs w:val="22"/>
          <w:highlight w:val="none"/>
          <w:lang w:val="en-US" w:eastAsia="zh-CN"/>
        </w:rPr>
        <w:t>4800000</w:t>
      </w:r>
    </w:p>
    <w:p>
      <w:pPr>
        <w:pStyle w:val="18"/>
        <w:shd w:val="clear" w:color="auto" w:fill="FFFFFF"/>
        <w:spacing w:before="0" w:beforeAutospacing="0" w:after="0" w:afterAutospacing="0" w:line="460" w:lineRule="exact"/>
        <w:ind w:firstLine="440" w:firstLineChars="200"/>
        <w:jc w:val="both"/>
        <w:rPr>
          <w:rFonts w:hint="eastAsia" w:ascii="宋体" w:hAnsi="宋体" w:cs="Times New Roman"/>
          <w:bCs/>
          <w:color w:val="auto"/>
          <w:sz w:val="22"/>
          <w:szCs w:val="22"/>
          <w:highlight w:val="none"/>
          <w:lang w:eastAsia="zh-CN"/>
        </w:rPr>
      </w:pPr>
      <w:r>
        <w:rPr>
          <w:rFonts w:ascii="宋体" w:hAnsi="宋体" w:cs="Times New Roman"/>
          <w:bCs/>
          <w:color w:val="auto"/>
          <w:sz w:val="22"/>
          <w:szCs w:val="22"/>
          <w:highlight w:val="none"/>
        </w:rPr>
        <w:t>简要规格描述或项目基本概况介绍、用途：</w:t>
      </w:r>
      <w:r>
        <w:rPr>
          <w:rFonts w:hint="eastAsia" w:ascii="宋体" w:hAnsi="宋体" w:cs="Times New Roman"/>
          <w:bCs/>
          <w:color w:val="auto"/>
          <w:sz w:val="22"/>
          <w:szCs w:val="22"/>
          <w:highlight w:val="none"/>
          <w:lang w:eastAsia="zh-CN"/>
        </w:rPr>
        <w:t>平阳县人民医院后勤综合管控系统</w:t>
      </w:r>
      <w:r>
        <w:rPr>
          <w:rFonts w:hint="eastAsia" w:ascii="宋体" w:hAnsi="宋体" w:cs="Times New Roman"/>
          <w:bCs/>
          <w:color w:val="auto"/>
          <w:sz w:val="22"/>
          <w:szCs w:val="22"/>
          <w:highlight w:val="none"/>
        </w:rPr>
        <w:t>项目</w:t>
      </w:r>
      <w:r>
        <w:rPr>
          <w:rFonts w:ascii="宋体" w:hAnsi="宋体" w:cs="Times New Roman"/>
          <w:bCs/>
          <w:color w:val="auto"/>
          <w:sz w:val="22"/>
          <w:szCs w:val="22"/>
          <w:highlight w:val="none"/>
        </w:rPr>
        <w:t>，详见招标文件</w:t>
      </w:r>
      <w:r>
        <w:rPr>
          <w:rFonts w:hint="eastAsia" w:ascii="宋体" w:hAnsi="宋体" w:cs="Times New Roman"/>
          <w:bCs/>
          <w:color w:val="auto"/>
          <w:sz w:val="22"/>
          <w:szCs w:val="22"/>
          <w:highlight w:val="none"/>
          <w:lang w:eastAsia="zh-CN"/>
        </w:rPr>
        <w:t>。</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备注： </w:t>
      </w:r>
    </w:p>
    <w:p>
      <w:pPr>
        <w:pStyle w:val="18"/>
        <w:shd w:val="clear" w:color="auto" w:fill="FFFFFF"/>
        <w:spacing w:before="0" w:beforeAutospacing="0" w:after="0" w:afterAutospacing="0" w:line="460" w:lineRule="exact"/>
        <w:ind w:left="440" w:hanging="440" w:hangingChars="200"/>
        <w:jc w:val="both"/>
        <w:rPr>
          <w:rFonts w:hint="eastAsia" w:ascii="宋体" w:hAnsi="宋体" w:cs="Times New Roman"/>
          <w:bCs/>
          <w:color w:val="auto"/>
          <w:sz w:val="22"/>
          <w:szCs w:val="22"/>
          <w:highlight w:val="none"/>
        </w:rPr>
      </w:pPr>
      <w:r>
        <w:rPr>
          <w:rFonts w:ascii="宋体" w:hAnsi="宋体" w:cs="Times New Roman"/>
          <w:bCs/>
          <w:color w:val="auto"/>
          <w:sz w:val="22"/>
          <w:szCs w:val="22"/>
          <w:highlight w:val="none"/>
        </w:rPr>
        <w:t xml:space="preserve">    合同履约期限：</w:t>
      </w:r>
      <w:r>
        <w:rPr>
          <w:rFonts w:hint="eastAsia" w:ascii="宋体" w:hAnsi="宋体" w:cs="Times New Roman"/>
          <w:bCs/>
          <w:color w:val="auto"/>
          <w:sz w:val="22"/>
          <w:szCs w:val="22"/>
          <w:highlight w:val="none"/>
        </w:rPr>
        <w:t>合同签订后90日之内交货，并安装调试完毕。</w:t>
      </w:r>
    </w:p>
    <w:p>
      <w:pPr>
        <w:pStyle w:val="18"/>
        <w:shd w:val="clear" w:color="auto" w:fill="FFFFFF"/>
        <w:spacing w:before="0" w:beforeAutospacing="0" w:after="0" w:afterAutospacing="0" w:line="460" w:lineRule="exact"/>
        <w:ind w:left="440" w:hanging="440" w:hangingChars="200"/>
        <w:jc w:val="both"/>
        <w:rPr>
          <w:rFonts w:hint="eastAsia" w:ascii="宋体" w:hAnsi="宋体" w:cs="Times New Roman"/>
          <w:bCs/>
          <w:color w:val="auto"/>
          <w:sz w:val="22"/>
          <w:szCs w:val="22"/>
          <w:highlight w:val="none"/>
        </w:rPr>
      </w:pPr>
      <w:r>
        <w:rPr>
          <w:rFonts w:hint="eastAsia" w:ascii="宋体" w:hAnsi="宋体" w:cs="Times New Roman"/>
          <w:bCs/>
          <w:color w:val="auto"/>
          <w:sz w:val="22"/>
          <w:szCs w:val="22"/>
          <w:highlight w:val="none"/>
        </w:rPr>
        <w:t xml:space="preserve">   本项目（否）接受联合体投标。</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二、申请人的资格要求：</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1.满足《中华人民共和国政府采购法》第二十二条规定；未被“信用中国”（www.creditchina.gov.cn)、中国政府采购网（www.ccgp.gov.cn）列入失信被执行人、重大税收违法案件当事人名单、政府采购严重违法失信行为记录名单。</w:t>
      </w:r>
    </w:p>
    <w:p>
      <w:pPr>
        <w:pStyle w:val="18"/>
        <w:shd w:val="clear" w:color="auto" w:fill="FFFFFF"/>
        <w:spacing w:before="0" w:beforeAutospacing="0" w:after="0" w:afterAutospacing="0" w:line="460" w:lineRule="exact"/>
        <w:ind w:firstLine="440" w:firstLineChars="200"/>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2.落实政府采购政策需满足的资格要求：无 </w:t>
      </w:r>
    </w:p>
    <w:p>
      <w:pPr>
        <w:pStyle w:val="18"/>
        <w:shd w:val="clear" w:color="auto" w:fill="FFFFFF"/>
        <w:spacing w:before="0" w:beforeAutospacing="0" w:after="0" w:afterAutospacing="0" w:line="460" w:lineRule="exact"/>
        <w:ind w:firstLine="440" w:firstLineChars="200"/>
        <w:jc w:val="both"/>
        <w:rPr>
          <w:rFonts w:hint="eastAsia" w:ascii="宋体" w:hAnsi="宋体" w:cs="Times New Roman"/>
          <w:bCs/>
          <w:color w:val="auto"/>
          <w:sz w:val="22"/>
          <w:szCs w:val="22"/>
          <w:highlight w:val="none"/>
          <w:lang w:val="en-US" w:eastAsia="zh-CN"/>
        </w:rPr>
      </w:pPr>
      <w:r>
        <w:rPr>
          <w:rFonts w:ascii="宋体" w:hAnsi="宋体" w:cs="Times New Roman"/>
          <w:bCs/>
          <w:color w:val="auto"/>
          <w:sz w:val="22"/>
          <w:szCs w:val="22"/>
          <w:highlight w:val="none"/>
          <w:lang w:val="en-US" w:eastAsia="zh-CN"/>
        </w:rPr>
        <w:t>3.本项目的特定资格要求：</w:t>
      </w:r>
      <w:r>
        <w:rPr>
          <w:rFonts w:hint="eastAsia" w:ascii="宋体" w:hAnsi="宋体" w:cs="Times New Roman"/>
          <w:bCs/>
          <w:color w:val="auto"/>
          <w:sz w:val="22"/>
          <w:szCs w:val="22"/>
          <w:highlight w:val="none"/>
          <w:lang w:val="en-US" w:eastAsia="zh-CN"/>
        </w:rPr>
        <w:t>具有电子与智能化工程专业承包二级及以上资质或建筑机电安装工程专业承包三级及以上资质或机电工程施工总承包三级及以上资质。</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三、获取招标文件</w:t>
      </w:r>
      <w:r>
        <w:rPr>
          <w:rFonts w:ascii="宋体" w:hAnsi="宋体" w:cs="Times New Roman"/>
          <w:bCs/>
          <w:color w:val="auto"/>
          <w:sz w:val="22"/>
          <w:szCs w:val="22"/>
          <w:highlight w:val="none"/>
        </w:rPr>
        <w:t xml:space="preserve">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时间：/至2020年</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月</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日 ，每天上午00:00至12:00 ，下午12:00至23:59（北京时间，线上获取法定节假日均可，线下获取文件法定节假日除外）</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地点（网址）：政采云平台（http://zfcg.czt.zj.gov.cn）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方式：网上下载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售价（元）：0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四、提交投标文件截止时间、开标时间和地点</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提交投标文件截止时间：2020年</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月</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日 09:30（北京时间）</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投标地点（网址）：政府采购云平台在线投标，投标供应商无须前往评审现场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开标时间：2020年</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月</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 xml:space="preserve">日 09:30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开标地点（网址）：政府采购云平台在线投标，投标供应商无须前往评审现场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五、公告期限</w:t>
      </w:r>
      <w:r>
        <w:rPr>
          <w:rFonts w:ascii="宋体" w:hAnsi="宋体" w:cs="Times New Roman"/>
          <w:bCs/>
          <w:color w:val="auto"/>
          <w:sz w:val="22"/>
          <w:szCs w:val="22"/>
          <w:highlight w:val="none"/>
        </w:rPr>
        <w:t xml:space="preserve">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自本公告发布之日起5个工作日。</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六、其他补充事宜</w:t>
      </w:r>
    </w:p>
    <w:p>
      <w:pPr>
        <w:spacing w:line="400" w:lineRule="exact"/>
        <w:rPr>
          <w:rFonts w:cs="Arial"/>
          <w:color w:val="auto"/>
          <w:sz w:val="22"/>
          <w:szCs w:val="22"/>
          <w:highlight w:val="none"/>
        </w:rPr>
      </w:pPr>
      <w:r>
        <w:rPr>
          <w:rFonts w:cs="Arial"/>
          <w:color w:val="auto"/>
          <w:sz w:val="22"/>
          <w:szCs w:val="22"/>
          <w:highlight w:val="none"/>
        </w:rPr>
        <w:t>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cs="Arial"/>
          <w:color w:val="auto"/>
          <w:sz w:val="22"/>
          <w:szCs w:val="22"/>
          <w:highlight w:val="none"/>
        </w:rPr>
        <w:br w:type="textWrapping"/>
      </w:r>
      <w:r>
        <w:rPr>
          <w:rFonts w:cs="Arial"/>
          <w:color w:val="auto"/>
          <w:sz w:val="22"/>
          <w:szCs w:val="22"/>
          <w:highlight w:val="none"/>
        </w:rPr>
        <w:t>2.其他事项：</w:t>
      </w:r>
    </w:p>
    <w:p>
      <w:pPr>
        <w:spacing w:line="400" w:lineRule="exact"/>
        <w:rPr>
          <w:rFonts w:cs="Arial"/>
          <w:color w:val="auto"/>
          <w:sz w:val="22"/>
          <w:szCs w:val="22"/>
          <w:highlight w:val="none"/>
        </w:rPr>
      </w:pPr>
      <w:r>
        <w:rPr>
          <w:rFonts w:hint="eastAsia" w:cs="Arial"/>
          <w:color w:val="auto"/>
          <w:sz w:val="22"/>
          <w:szCs w:val="22"/>
          <w:highlight w:val="none"/>
        </w:rPr>
        <w:t>（1）</w:t>
      </w:r>
      <w:r>
        <w:rPr>
          <w:rFonts w:cs="Arial"/>
          <w:color w:val="auto"/>
          <w:sz w:val="22"/>
          <w:szCs w:val="22"/>
          <w:highlight w:val="none"/>
        </w:rPr>
        <w:t>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w:t>
      </w:r>
    </w:p>
    <w:p>
      <w:pPr>
        <w:spacing w:line="400" w:lineRule="exact"/>
        <w:rPr>
          <w:rFonts w:cs="Arial"/>
          <w:color w:val="auto"/>
          <w:sz w:val="22"/>
          <w:szCs w:val="22"/>
          <w:highlight w:val="none"/>
        </w:rPr>
      </w:pPr>
      <w:r>
        <w:rPr>
          <w:rFonts w:hint="eastAsia" w:cs="Arial"/>
          <w:color w:val="auto"/>
          <w:sz w:val="22"/>
          <w:szCs w:val="22"/>
          <w:highlight w:val="none"/>
        </w:rPr>
        <w:t>（2）</w:t>
      </w:r>
      <w:r>
        <w:rPr>
          <w:rFonts w:cs="Arial"/>
          <w:color w:val="auto"/>
          <w:sz w:val="22"/>
          <w:szCs w:val="22"/>
          <w:highlight w:val="none"/>
        </w:rPr>
        <w:t xml:space="preserve">投标供应商应当在投标截止时间前，将生成的“电子加密投标文件”上传递交至“政府采购云平台”。投标截止时间以后上传递交的投标文件将被“政府采购云平台”拒收。 </w:t>
      </w:r>
    </w:p>
    <w:p>
      <w:pPr>
        <w:spacing w:line="400" w:lineRule="exact"/>
        <w:rPr>
          <w:rFonts w:cs="Arial"/>
          <w:color w:val="auto"/>
          <w:sz w:val="22"/>
          <w:szCs w:val="22"/>
          <w:highlight w:val="none"/>
        </w:rPr>
      </w:pPr>
      <w:r>
        <w:rPr>
          <w:rFonts w:hint="eastAsia" w:cs="Arial"/>
          <w:color w:val="auto"/>
          <w:sz w:val="22"/>
          <w:szCs w:val="22"/>
          <w:highlight w:val="none"/>
        </w:rPr>
        <w:t>（3）</w:t>
      </w:r>
      <w:r>
        <w:rPr>
          <w:rFonts w:cs="Arial"/>
          <w:color w:val="auto"/>
          <w:sz w:val="22"/>
          <w:szCs w:val="22"/>
          <w:highlight w:val="none"/>
        </w:rPr>
        <w:t xml:space="preserve">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w:t>
      </w:r>
    </w:p>
    <w:p>
      <w:pPr>
        <w:spacing w:line="400" w:lineRule="exact"/>
        <w:rPr>
          <w:rFonts w:cs="Arial"/>
          <w:color w:val="auto"/>
          <w:sz w:val="22"/>
          <w:szCs w:val="22"/>
          <w:highlight w:val="none"/>
        </w:rPr>
      </w:pPr>
      <w:r>
        <w:rPr>
          <w:rFonts w:hint="eastAsia" w:cs="Arial"/>
          <w:color w:val="auto"/>
          <w:sz w:val="22"/>
          <w:szCs w:val="22"/>
          <w:highlight w:val="none"/>
        </w:rPr>
        <w:t>（4）</w:t>
      </w:r>
      <w:r>
        <w:rPr>
          <w:rFonts w:cs="Arial"/>
          <w:color w:val="auto"/>
          <w:sz w:val="22"/>
          <w:szCs w:val="22"/>
          <w:highlight w:val="none"/>
        </w:rPr>
        <w:t>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w:t>
      </w:r>
    </w:p>
    <w:p>
      <w:pPr>
        <w:spacing w:line="400" w:lineRule="exact"/>
        <w:rPr>
          <w:rFonts w:hint="eastAsia" w:cs="Arial"/>
          <w:color w:val="auto"/>
          <w:sz w:val="22"/>
          <w:szCs w:val="22"/>
          <w:highlight w:val="none"/>
        </w:rPr>
      </w:pPr>
      <w:r>
        <w:rPr>
          <w:rFonts w:hint="eastAsia" w:cs="Arial"/>
          <w:color w:val="auto"/>
          <w:sz w:val="22"/>
          <w:szCs w:val="22"/>
          <w:highlight w:val="none"/>
        </w:rPr>
        <w:t>（5）</w:t>
      </w:r>
      <w:r>
        <w:rPr>
          <w:rFonts w:cs="Arial"/>
          <w:color w:val="auto"/>
          <w:sz w:val="22"/>
          <w:szCs w:val="22"/>
          <w:highlight w:val="none"/>
        </w:rPr>
        <w:t>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pStyle w:val="18"/>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七、对本次采购提出询问、质疑、投诉，请按以下方式联系</w:t>
      </w:r>
    </w:p>
    <w:p>
      <w:pPr>
        <w:spacing w:line="400" w:lineRule="exact"/>
        <w:rPr>
          <w:rFonts w:hint="eastAsia" w:cs="Arial"/>
          <w:color w:val="auto"/>
          <w:sz w:val="22"/>
          <w:szCs w:val="22"/>
          <w:highlight w:val="none"/>
        </w:rPr>
      </w:pPr>
      <w:r>
        <w:rPr>
          <w:rFonts w:cs="Arial"/>
          <w:color w:val="auto"/>
          <w:sz w:val="22"/>
          <w:szCs w:val="22"/>
          <w:highlight w:val="none"/>
        </w:rPr>
        <w:t>    1.采购人信息</w:t>
      </w:r>
    </w:p>
    <w:p>
      <w:pPr>
        <w:spacing w:line="400" w:lineRule="exact"/>
        <w:rPr>
          <w:rFonts w:cs="Arial"/>
          <w:color w:val="auto"/>
          <w:sz w:val="22"/>
          <w:szCs w:val="22"/>
          <w:highlight w:val="none"/>
        </w:rPr>
      </w:pPr>
      <w:r>
        <w:rPr>
          <w:rFonts w:cs="Arial"/>
          <w:color w:val="auto"/>
          <w:sz w:val="22"/>
          <w:szCs w:val="22"/>
          <w:highlight w:val="none"/>
        </w:rPr>
        <w:t>    名    称：</w:t>
      </w:r>
      <w:r>
        <w:rPr>
          <w:rFonts w:hint="eastAsia" w:cs="Arial"/>
          <w:color w:val="auto"/>
          <w:sz w:val="22"/>
          <w:szCs w:val="22"/>
          <w:highlight w:val="none"/>
        </w:rPr>
        <w:t>平阳县人民医院</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地    址：</w:t>
      </w:r>
      <w:r>
        <w:rPr>
          <w:rFonts w:hint="eastAsia" w:cs="Arial"/>
          <w:color w:val="auto"/>
          <w:sz w:val="22"/>
          <w:szCs w:val="22"/>
          <w:highlight w:val="none"/>
        </w:rPr>
        <w:t>平阳县昆阳镇昆鳌大道555号</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传    真：/  </w:t>
      </w:r>
    </w:p>
    <w:p>
      <w:pPr>
        <w:spacing w:line="400" w:lineRule="exact"/>
        <w:rPr>
          <w:rFonts w:cs="Arial"/>
          <w:color w:val="auto"/>
          <w:sz w:val="22"/>
          <w:szCs w:val="22"/>
          <w:highlight w:val="none"/>
        </w:rPr>
      </w:pPr>
      <w:r>
        <w:rPr>
          <w:rFonts w:cs="Arial"/>
          <w:color w:val="auto"/>
          <w:sz w:val="22"/>
          <w:szCs w:val="22"/>
          <w:highlight w:val="none"/>
        </w:rPr>
        <w:t>    项目联系人（询问）：</w:t>
      </w:r>
      <w:r>
        <w:rPr>
          <w:rFonts w:hint="eastAsia" w:cs="Arial"/>
          <w:color w:val="auto"/>
          <w:sz w:val="22"/>
          <w:szCs w:val="22"/>
          <w:highlight w:val="none"/>
          <w:lang w:val="en-US" w:eastAsia="zh-CN"/>
        </w:rPr>
        <w:t>岳</w:t>
      </w:r>
      <w:r>
        <w:rPr>
          <w:rFonts w:hint="eastAsia" w:cs="Arial"/>
          <w:color w:val="auto"/>
          <w:sz w:val="22"/>
          <w:szCs w:val="22"/>
          <w:highlight w:val="none"/>
        </w:rPr>
        <w:t>先生</w:t>
      </w:r>
      <w:r>
        <w:rPr>
          <w:rFonts w:cs="Arial"/>
          <w:color w:val="auto"/>
          <w:sz w:val="22"/>
          <w:szCs w:val="22"/>
          <w:highlight w:val="none"/>
        </w:rPr>
        <w:t> </w:t>
      </w:r>
    </w:p>
    <w:p>
      <w:pPr>
        <w:spacing w:line="400" w:lineRule="exact"/>
        <w:rPr>
          <w:rFonts w:hint="eastAsia" w:eastAsia="宋体" w:cs="Arial"/>
          <w:color w:val="auto"/>
          <w:sz w:val="22"/>
          <w:szCs w:val="22"/>
          <w:highlight w:val="none"/>
          <w:lang w:eastAsia="zh-CN"/>
        </w:rPr>
      </w:pPr>
      <w:r>
        <w:rPr>
          <w:rFonts w:cs="Arial"/>
          <w:color w:val="auto"/>
          <w:sz w:val="22"/>
          <w:szCs w:val="22"/>
          <w:highlight w:val="none"/>
        </w:rPr>
        <w:t>    项目联系方式（询问）：</w:t>
      </w:r>
      <w:r>
        <w:rPr>
          <w:rFonts w:hint="eastAsia" w:cs="Arial"/>
          <w:color w:val="auto"/>
          <w:sz w:val="22"/>
          <w:szCs w:val="22"/>
          <w:highlight w:val="none"/>
        </w:rPr>
        <w:t>0577-63730213</w:t>
      </w:r>
      <w:r>
        <w:rPr>
          <w:rFonts w:hint="eastAsia" w:cs="Arial"/>
          <w:color w:val="auto"/>
          <w:sz w:val="22"/>
          <w:szCs w:val="22"/>
          <w:highlight w:val="none"/>
          <w:lang w:val="en-US" w:eastAsia="zh-CN"/>
        </w:rPr>
        <w:t xml:space="preserve"> </w:t>
      </w:r>
    </w:p>
    <w:p>
      <w:pPr>
        <w:spacing w:line="400" w:lineRule="exact"/>
        <w:rPr>
          <w:rFonts w:cs="Arial"/>
          <w:color w:val="auto"/>
          <w:sz w:val="22"/>
          <w:szCs w:val="22"/>
          <w:highlight w:val="none"/>
        </w:rPr>
      </w:pPr>
      <w:r>
        <w:rPr>
          <w:rFonts w:cs="Arial"/>
          <w:color w:val="auto"/>
          <w:sz w:val="22"/>
          <w:szCs w:val="22"/>
          <w:highlight w:val="none"/>
        </w:rPr>
        <w:t>    质疑联系人：</w:t>
      </w:r>
      <w:r>
        <w:rPr>
          <w:rFonts w:hint="eastAsia" w:cs="Arial"/>
          <w:color w:val="auto"/>
          <w:sz w:val="22"/>
          <w:szCs w:val="22"/>
          <w:highlight w:val="none"/>
          <w:lang w:val="en-US" w:eastAsia="zh-CN"/>
        </w:rPr>
        <w:t>岳</w:t>
      </w:r>
      <w:r>
        <w:rPr>
          <w:rFonts w:hint="eastAsia" w:cs="Arial"/>
          <w:color w:val="auto"/>
          <w:sz w:val="22"/>
          <w:szCs w:val="22"/>
          <w:highlight w:val="none"/>
        </w:rPr>
        <w:t>先生</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质疑联系方式：</w:t>
      </w:r>
      <w:r>
        <w:rPr>
          <w:rFonts w:hint="eastAsia" w:cs="Arial"/>
          <w:color w:val="auto"/>
          <w:sz w:val="22"/>
          <w:szCs w:val="22"/>
          <w:highlight w:val="none"/>
        </w:rPr>
        <w:t>0577-63730213</w:t>
      </w:r>
    </w:p>
    <w:p>
      <w:pPr>
        <w:spacing w:line="400" w:lineRule="exact"/>
        <w:rPr>
          <w:rFonts w:cs="Arial"/>
          <w:color w:val="auto"/>
          <w:sz w:val="22"/>
          <w:szCs w:val="22"/>
          <w:highlight w:val="none"/>
        </w:rPr>
      </w:pPr>
      <w:r>
        <w:rPr>
          <w:rFonts w:cs="Arial"/>
          <w:color w:val="auto"/>
          <w:sz w:val="22"/>
          <w:szCs w:val="22"/>
          <w:highlight w:val="none"/>
        </w:rPr>
        <w:t>    2.采购代理机构信息            </w:t>
      </w:r>
    </w:p>
    <w:p>
      <w:pPr>
        <w:spacing w:line="400" w:lineRule="exact"/>
        <w:rPr>
          <w:rFonts w:cs="Arial"/>
          <w:color w:val="auto"/>
          <w:sz w:val="22"/>
          <w:szCs w:val="22"/>
          <w:highlight w:val="none"/>
        </w:rPr>
      </w:pPr>
      <w:r>
        <w:rPr>
          <w:rFonts w:cs="Arial"/>
          <w:color w:val="auto"/>
          <w:sz w:val="22"/>
          <w:szCs w:val="22"/>
          <w:highlight w:val="none"/>
        </w:rPr>
        <w:t>    名    称：</w:t>
      </w:r>
      <w:r>
        <w:rPr>
          <w:rFonts w:hint="eastAsia" w:cs="Arial"/>
          <w:color w:val="auto"/>
          <w:sz w:val="22"/>
          <w:szCs w:val="22"/>
          <w:highlight w:val="none"/>
        </w:rPr>
        <w:t>浙江名进建设项目管理有限公司</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地    址：</w:t>
      </w:r>
      <w:r>
        <w:rPr>
          <w:rFonts w:hint="eastAsia" w:cs="Arial"/>
          <w:color w:val="auto"/>
          <w:sz w:val="22"/>
          <w:szCs w:val="22"/>
          <w:highlight w:val="none"/>
        </w:rPr>
        <w:t>平阳县鳌江镇车站大道博鳌锦苑4幢702室</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传    真：/             </w:t>
      </w:r>
    </w:p>
    <w:p>
      <w:pPr>
        <w:spacing w:line="400" w:lineRule="exact"/>
        <w:rPr>
          <w:rFonts w:cs="Arial"/>
          <w:color w:val="auto"/>
          <w:sz w:val="22"/>
          <w:szCs w:val="22"/>
          <w:highlight w:val="none"/>
        </w:rPr>
      </w:pPr>
      <w:r>
        <w:rPr>
          <w:rFonts w:cs="Arial"/>
          <w:color w:val="auto"/>
          <w:sz w:val="22"/>
          <w:szCs w:val="22"/>
          <w:highlight w:val="none"/>
        </w:rPr>
        <w:t>    项目联系人（询问）：</w:t>
      </w:r>
      <w:r>
        <w:rPr>
          <w:rFonts w:hint="eastAsia" w:cs="Arial"/>
          <w:color w:val="auto"/>
          <w:sz w:val="22"/>
          <w:szCs w:val="22"/>
          <w:highlight w:val="none"/>
        </w:rPr>
        <w:t>周女士</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项目联系方式（询问）：</w:t>
      </w:r>
      <w:r>
        <w:rPr>
          <w:rFonts w:hint="eastAsia" w:cs="Arial"/>
          <w:color w:val="auto"/>
          <w:sz w:val="22"/>
          <w:szCs w:val="22"/>
          <w:highlight w:val="none"/>
        </w:rPr>
        <w:t>0577-63639288</w:t>
      </w:r>
    </w:p>
    <w:p>
      <w:pPr>
        <w:spacing w:line="400" w:lineRule="exact"/>
        <w:rPr>
          <w:rFonts w:cs="Arial"/>
          <w:color w:val="auto"/>
          <w:sz w:val="22"/>
          <w:szCs w:val="22"/>
          <w:highlight w:val="none"/>
        </w:rPr>
      </w:pPr>
      <w:r>
        <w:rPr>
          <w:rFonts w:cs="Arial"/>
          <w:color w:val="auto"/>
          <w:sz w:val="22"/>
          <w:szCs w:val="22"/>
          <w:highlight w:val="none"/>
        </w:rPr>
        <w:t>    质疑联系人：</w:t>
      </w:r>
      <w:r>
        <w:rPr>
          <w:rFonts w:hint="eastAsia" w:cs="Arial"/>
          <w:color w:val="auto"/>
          <w:sz w:val="22"/>
          <w:szCs w:val="22"/>
          <w:highlight w:val="none"/>
        </w:rPr>
        <w:t>朱旭丽</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质疑联系方式：</w:t>
      </w:r>
      <w:r>
        <w:rPr>
          <w:rFonts w:hint="eastAsia" w:cs="Arial"/>
          <w:color w:val="auto"/>
          <w:sz w:val="22"/>
          <w:szCs w:val="22"/>
          <w:highlight w:val="none"/>
        </w:rPr>
        <w:t>0577-63639288</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3.同级政府采购监督管理部门            </w:t>
      </w:r>
    </w:p>
    <w:p>
      <w:pPr>
        <w:spacing w:line="400" w:lineRule="exact"/>
        <w:rPr>
          <w:rFonts w:cs="Arial"/>
          <w:color w:val="auto"/>
          <w:sz w:val="22"/>
          <w:szCs w:val="22"/>
          <w:highlight w:val="none"/>
        </w:rPr>
      </w:pPr>
      <w:r>
        <w:rPr>
          <w:rFonts w:cs="Arial"/>
          <w:color w:val="auto"/>
          <w:sz w:val="22"/>
          <w:szCs w:val="22"/>
          <w:highlight w:val="none"/>
        </w:rPr>
        <w:t>    名    称：平阳县财政局政府采购监督管理科             </w:t>
      </w:r>
    </w:p>
    <w:p>
      <w:pPr>
        <w:spacing w:line="400" w:lineRule="exact"/>
        <w:rPr>
          <w:rFonts w:cs="Arial"/>
          <w:color w:val="auto"/>
          <w:sz w:val="22"/>
          <w:szCs w:val="22"/>
          <w:highlight w:val="none"/>
        </w:rPr>
      </w:pPr>
      <w:r>
        <w:rPr>
          <w:rFonts w:cs="Arial"/>
          <w:color w:val="auto"/>
          <w:sz w:val="22"/>
          <w:szCs w:val="22"/>
          <w:highlight w:val="none"/>
        </w:rPr>
        <w:t>    地    址：平阳县昆阳镇人民路373号             </w:t>
      </w:r>
    </w:p>
    <w:p>
      <w:pPr>
        <w:spacing w:line="400" w:lineRule="exact"/>
        <w:rPr>
          <w:rFonts w:cs="Arial"/>
          <w:color w:val="auto"/>
          <w:sz w:val="22"/>
          <w:szCs w:val="22"/>
          <w:highlight w:val="none"/>
        </w:rPr>
      </w:pPr>
      <w:r>
        <w:rPr>
          <w:rFonts w:cs="Arial"/>
          <w:color w:val="auto"/>
          <w:sz w:val="22"/>
          <w:szCs w:val="22"/>
          <w:highlight w:val="none"/>
        </w:rPr>
        <w:t>    传    真：/             </w:t>
      </w:r>
    </w:p>
    <w:p>
      <w:pPr>
        <w:spacing w:line="400" w:lineRule="exact"/>
        <w:rPr>
          <w:rFonts w:cs="Arial"/>
          <w:color w:val="auto"/>
          <w:sz w:val="22"/>
          <w:szCs w:val="22"/>
          <w:highlight w:val="none"/>
        </w:rPr>
      </w:pPr>
      <w:r>
        <w:rPr>
          <w:rFonts w:cs="Arial"/>
          <w:color w:val="auto"/>
          <w:sz w:val="22"/>
          <w:szCs w:val="22"/>
          <w:highlight w:val="none"/>
        </w:rPr>
        <w:t>    联系人 ：陈先生             </w:t>
      </w:r>
    </w:p>
    <w:p>
      <w:pPr>
        <w:spacing w:line="400" w:lineRule="exact"/>
        <w:ind w:firstLine="660"/>
        <w:rPr>
          <w:rFonts w:cs="Arial"/>
          <w:color w:val="auto"/>
          <w:sz w:val="22"/>
          <w:szCs w:val="22"/>
          <w:highlight w:val="none"/>
        </w:rPr>
      </w:pPr>
      <w:r>
        <w:rPr>
          <w:rFonts w:cs="Arial"/>
          <w:color w:val="auto"/>
          <w:sz w:val="22"/>
          <w:szCs w:val="22"/>
          <w:highlight w:val="none"/>
        </w:rPr>
        <w:t>监督投诉电话：0577-63889763           </w:t>
      </w:r>
      <w:r>
        <w:rPr>
          <w:rFonts w:cs="Arial"/>
          <w:color w:val="auto"/>
          <w:sz w:val="22"/>
          <w:szCs w:val="22"/>
          <w:highlight w:val="none"/>
        </w:rPr>
        <w:br w:type="textWrapping"/>
      </w:r>
      <w:r>
        <w:rPr>
          <w:rFonts w:cs="Arial"/>
          <w:color w:val="auto"/>
          <w:sz w:val="22"/>
          <w:szCs w:val="22"/>
          <w:highlight w:val="none"/>
        </w:rPr>
        <w:t xml:space="preserve"> 若对项目采购电子交易系统操作有疑问，可登录政采云（https://www.zcygov.cn/），点击右侧咨询小采，获取采小蜜智能服务管家帮助，或拨打政采云服务热线400-881-7190获取热线服务帮助。  </w:t>
      </w:r>
    </w:p>
    <w:p>
      <w:pPr>
        <w:spacing w:line="400" w:lineRule="exact"/>
        <w:ind w:firstLine="660"/>
        <w:rPr>
          <w:rFonts w:hint="eastAsia"/>
          <w:color w:val="auto"/>
          <w:highlight w:val="none"/>
        </w:rPr>
      </w:pPr>
      <w:r>
        <w:rPr>
          <w:color w:val="auto"/>
          <w:sz w:val="22"/>
          <w:szCs w:val="22"/>
          <w:highlight w:val="none"/>
        </w:rPr>
        <w:t>CA问题联系电话（人工）：汇信CA 400-888-4636；天谷CA 400-087-8198。</w:t>
      </w: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pStyle w:val="3"/>
        <w:rPr>
          <w:rFonts w:hint="eastAsia"/>
          <w:color w:val="auto"/>
          <w:highlight w:val="none"/>
        </w:rPr>
      </w:pPr>
    </w:p>
    <w:p>
      <w:pPr>
        <w:pStyle w:val="4"/>
        <w:rPr>
          <w:rFonts w:hint="eastAsia"/>
          <w:color w:val="auto"/>
          <w:highlight w:val="none"/>
        </w:rPr>
      </w:pPr>
    </w:p>
    <w:p>
      <w:pPr>
        <w:rPr>
          <w:rFonts w:hint="eastAsia"/>
          <w:color w:val="auto"/>
          <w:highlight w:val="none"/>
        </w:rPr>
      </w:pPr>
    </w:p>
    <w:p>
      <w:pPr>
        <w:pStyle w:val="2"/>
        <w:rPr>
          <w:rFonts w:hint="eastAsia"/>
          <w:color w:val="auto"/>
          <w:highlight w:val="none"/>
        </w:rPr>
      </w:pPr>
    </w:p>
    <w:p>
      <w:pPr>
        <w:pStyle w:val="3"/>
        <w:rPr>
          <w:rFonts w:hint="eastAsia"/>
          <w:color w:val="auto"/>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r>
        <w:rPr>
          <w:rFonts w:hint="eastAsia"/>
          <w:b/>
          <w:bCs/>
          <w:color w:val="auto"/>
          <w:sz w:val="36"/>
          <w:szCs w:val="36"/>
          <w:highlight w:val="none"/>
        </w:rPr>
        <w:t>投 标 通 知 (邀 请) 书</w:t>
      </w:r>
    </w:p>
    <w:p>
      <w:pPr>
        <w:adjustRightInd w:val="0"/>
        <w:snapToGrid w:val="0"/>
        <w:spacing w:line="360" w:lineRule="atLeast"/>
        <w:ind w:firstLine="440" w:firstLineChars="200"/>
        <w:rPr>
          <w:rFonts w:hint="eastAsia"/>
          <w:color w:val="auto"/>
          <w:sz w:val="22"/>
          <w:szCs w:val="22"/>
          <w:highlight w:val="none"/>
        </w:rPr>
      </w:pPr>
      <w:r>
        <w:rPr>
          <w:rFonts w:hint="eastAsia"/>
          <w:color w:val="auto"/>
          <w:sz w:val="22"/>
          <w:szCs w:val="22"/>
          <w:highlight w:val="none"/>
        </w:rPr>
        <w:t>浙江名进建设项目管理有限公司对</w:t>
      </w:r>
      <w:r>
        <w:rPr>
          <w:rFonts w:hint="eastAsia"/>
          <w:color w:val="auto"/>
          <w:sz w:val="22"/>
          <w:szCs w:val="22"/>
          <w:highlight w:val="none"/>
          <w:lang w:eastAsia="zh-CN"/>
        </w:rPr>
        <w:t>平阳县人民医院后勤综合管控系统项目</w:t>
      </w:r>
      <w:r>
        <w:rPr>
          <w:rFonts w:hint="eastAsia"/>
          <w:color w:val="auto"/>
          <w:sz w:val="22"/>
          <w:szCs w:val="22"/>
          <w:highlight w:val="none"/>
        </w:rPr>
        <w:t>进行公开招标，特通知贵公司（企业）前来投标。并请按招标文件的要求认真准备好投标文件，按时前来投标。</w:t>
      </w:r>
    </w:p>
    <w:tbl>
      <w:tblPr>
        <w:tblStyle w:val="21"/>
        <w:tblW w:w="1026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681"/>
        <w:gridCol w:w="1675"/>
        <w:gridCol w:w="790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spacing w:line="300" w:lineRule="exact"/>
              <w:jc w:val="center"/>
              <w:rPr>
                <w:color w:val="auto"/>
                <w:sz w:val="22"/>
                <w:szCs w:val="22"/>
                <w:highlight w:val="none"/>
              </w:rPr>
            </w:pPr>
            <w:r>
              <w:rPr>
                <w:rFonts w:hint="eastAsia"/>
                <w:color w:val="auto"/>
                <w:sz w:val="22"/>
                <w:szCs w:val="22"/>
                <w:highlight w:val="none"/>
              </w:rPr>
              <w:t>序号</w:t>
            </w: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内容</w:t>
            </w:r>
          </w:p>
        </w:tc>
        <w:tc>
          <w:tcPr>
            <w:tcW w:w="7905" w:type="dxa"/>
            <w:noWrap w:val="0"/>
            <w:vAlign w:val="center"/>
          </w:tcPr>
          <w:p>
            <w:pPr>
              <w:spacing w:line="300" w:lineRule="exact"/>
              <w:jc w:val="center"/>
              <w:rPr>
                <w:color w:val="auto"/>
                <w:sz w:val="22"/>
                <w:szCs w:val="22"/>
                <w:highlight w:val="none"/>
              </w:rPr>
            </w:pPr>
            <w:r>
              <w:rPr>
                <w:rFonts w:hint="eastAsia"/>
                <w:color w:val="auto"/>
                <w:sz w:val="22"/>
                <w:szCs w:val="22"/>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rFonts w:hint="eastAsia"/>
                <w:color w:val="auto"/>
                <w:sz w:val="22"/>
                <w:szCs w:val="22"/>
                <w:highlight w:val="none"/>
              </w:rPr>
            </w:pPr>
            <w:r>
              <w:rPr>
                <w:rFonts w:hint="eastAsia"/>
                <w:color w:val="auto"/>
                <w:sz w:val="22"/>
                <w:szCs w:val="22"/>
                <w:highlight w:val="none"/>
              </w:rPr>
              <w:t>项目名称</w:t>
            </w:r>
          </w:p>
        </w:tc>
        <w:tc>
          <w:tcPr>
            <w:tcW w:w="7905" w:type="dxa"/>
            <w:noWrap w:val="0"/>
            <w:vAlign w:val="center"/>
          </w:tcPr>
          <w:p>
            <w:pPr>
              <w:spacing w:line="300" w:lineRule="exact"/>
              <w:jc w:val="left"/>
              <w:rPr>
                <w:rFonts w:hint="eastAsia"/>
                <w:color w:val="auto"/>
                <w:sz w:val="22"/>
                <w:szCs w:val="22"/>
                <w:highlight w:val="none"/>
                <w:lang w:eastAsia="zh-CN"/>
              </w:rPr>
            </w:pPr>
            <w:r>
              <w:rPr>
                <w:rFonts w:hint="eastAsia"/>
                <w:color w:val="auto"/>
                <w:sz w:val="22"/>
                <w:szCs w:val="22"/>
                <w:highlight w:val="none"/>
                <w:lang w:eastAsia="zh-CN"/>
              </w:rPr>
              <w:t>平阳县人民医院后勤综合管控系统项目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rFonts w:hint="eastAsia"/>
                <w:color w:val="auto"/>
                <w:sz w:val="22"/>
                <w:szCs w:val="22"/>
                <w:highlight w:val="none"/>
              </w:rPr>
            </w:pPr>
            <w:r>
              <w:rPr>
                <w:rFonts w:hint="eastAsia"/>
                <w:color w:val="auto"/>
                <w:sz w:val="22"/>
                <w:szCs w:val="22"/>
                <w:highlight w:val="none"/>
              </w:rPr>
              <w:t>项目编号</w:t>
            </w:r>
          </w:p>
        </w:tc>
        <w:tc>
          <w:tcPr>
            <w:tcW w:w="7905" w:type="dxa"/>
            <w:noWrap w:val="0"/>
            <w:vAlign w:val="center"/>
          </w:tcPr>
          <w:p>
            <w:pPr>
              <w:spacing w:line="300" w:lineRule="exact"/>
              <w:jc w:val="left"/>
              <w:rPr>
                <w:rFonts w:hint="eastAsia"/>
                <w:color w:val="auto"/>
                <w:sz w:val="22"/>
                <w:szCs w:val="22"/>
                <w:highlight w:val="none"/>
              </w:rPr>
            </w:pPr>
            <w:r>
              <w:rPr>
                <w:rFonts w:hint="eastAsia"/>
                <w:color w:val="auto"/>
                <w:sz w:val="22"/>
                <w:szCs w:val="22"/>
                <w:highlight w:val="none"/>
              </w:rPr>
              <w:t>PYCG20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rFonts w:hint="eastAsia"/>
                <w:color w:val="auto"/>
                <w:sz w:val="22"/>
                <w:szCs w:val="22"/>
                <w:highlight w:val="none"/>
              </w:rPr>
            </w:pPr>
            <w:r>
              <w:rPr>
                <w:rFonts w:hint="eastAsia"/>
                <w:color w:val="auto"/>
                <w:sz w:val="22"/>
                <w:szCs w:val="22"/>
                <w:highlight w:val="none"/>
              </w:rPr>
              <w:t>资金来源</w:t>
            </w:r>
          </w:p>
        </w:tc>
        <w:tc>
          <w:tcPr>
            <w:tcW w:w="7905" w:type="dxa"/>
            <w:noWrap w:val="0"/>
            <w:vAlign w:val="center"/>
          </w:tcPr>
          <w:p>
            <w:pPr>
              <w:spacing w:line="300" w:lineRule="exact"/>
              <w:jc w:val="left"/>
              <w:rPr>
                <w:rFonts w:hint="default"/>
                <w:color w:val="auto"/>
                <w:sz w:val="22"/>
                <w:szCs w:val="22"/>
                <w:highlight w:val="none"/>
                <w:lang w:val="en-US"/>
              </w:rPr>
            </w:pPr>
            <w:r>
              <w:rPr>
                <w:rFonts w:hint="eastAsia"/>
                <w:color w:val="auto"/>
                <w:sz w:val="22"/>
                <w:szCs w:val="22"/>
                <w:highlight w:val="none"/>
                <w:lang w:val="en-US" w:eastAsia="zh-CN"/>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rFonts w:hint="eastAsia"/>
                <w:color w:val="auto"/>
                <w:sz w:val="22"/>
                <w:szCs w:val="22"/>
                <w:highlight w:val="none"/>
              </w:rPr>
            </w:pPr>
            <w:r>
              <w:rPr>
                <w:rFonts w:hint="eastAsia"/>
                <w:color w:val="auto"/>
                <w:sz w:val="22"/>
                <w:szCs w:val="22"/>
                <w:highlight w:val="none"/>
              </w:rPr>
              <w:t>采购预算</w:t>
            </w:r>
          </w:p>
          <w:p>
            <w:pPr>
              <w:spacing w:line="300" w:lineRule="exact"/>
              <w:jc w:val="center"/>
              <w:rPr>
                <w:color w:val="auto"/>
                <w:sz w:val="22"/>
                <w:szCs w:val="22"/>
                <w:highlight w:val="none"/>
              </w:rPr>
            </w:pPr>
            <w:r>
              <w:rPr>
                <w:rFonts w:hint="eastAsia"/>
                <w:color w:val="auto"/>
                <w:sz w:val="22"/>
                <w:szCs w:val="22"/>
                <w:highlight w:val="none"/>
              </w:rPr>
              <w:t>（最高限价）</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采购方式</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78"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采购人</w:t>
            </w:r>
          </w:p>
        </w:tc>
        <w:tc>
          <w:tcPr>
            <w:tcW w:w="7905" w:type="dxa"/>
            <w:noWrap w:val="0"/>
            <w:vAlign w:val="center"/>
          </w:tcPr>
          <w:p>
            <w:pPr>
              <w:adjustRightInd w:val="0"/>
              <w:spacing w:line="300" w:lineRule="exact"/>
              <w:rPr>
                <w:rFonts w:hint="eastAsia"/>
                <w:color w:val="auto"/>
                <w:sz w:val="22"/>
                <w:szCs w:val="22"/>
                <w:highlight w:val="none"/>
              </w:rPr>
            </w:pPr>
            <w:r>
              <w:rPr>
                <w:rFonts w:hint="eastAsia"/>
                <w:color w:val="auto"/>
                <w:sz w:val="22"/>
                <w:szCs w:val="22"/>
                <w:highlight w:val="none"/>
              </w:rPr>
              <w:t>名称：平阳县人民医院</w:t>
            </w:r>
          </w:p>
          <w:p>
            <w:pPr>
              <w:adjustRightInd w:val="0"/>
              <w:spacing w:line="300" w:lineRule="exact"/>
              <w:rPr>
                <w:rFonts w:hint="eastAsia"/>
                <w:color w:val="auto"/>
                <w:sz w:val="22"/>
                <w:szCs w:val="22"/>
                <w:highlight w:val="none"/>
              </w:rPr>
            </w:pPr>
            <w:r>
              <w:rPr>
                <w:rFonts w:hint="eastAsia"/>
                <w:color w:val="auto"/>
                <w:sz w:val="22"/>
                <w:szCs w:val="22"/>
                <w:highlight w:val="none"/>
              </w:rPr>
              <w:t>地址：昆鳌大道555号</w:t>
            </w:r>
          </w:p>
          <w:p>
            <w:pPr>
              <w:adjustRightInd w:val="0"/>
              <w:spacing w:line="300" w:lineRule="exact"/>
              <w:rPr>
                <w:rFonts w:hint="eastAsia"/>
                <w:color w:val="auto"/>
                <w:sz w:val="22"/>
                <w:szCs w:val="22"/>
                <w:highlight w:val="none"/>
              </w:rPr>
            </w:pPr>
            <w:r>
              <w:rPr>
                <w:rFonts w:hint="eastAsia"/>
                <w:color w:val="auto"/>
                <w:sz w:val="22"/>
                <w:szCs w:val="22"/>
                <w:highlight w:val="none"/>
              </w:rPr>
              <w:t>联系人：</w:t>
            </w:r>
            <w:r>
              <w:rPr>
                <w:rFonts w:hint="eastAsia" w:cs="Arial"/>
                <w:color w:val="auto"/>
                <w:sz w:val="22"/>
                <w:szCs w:val="22"/>
                <w:highlight w:val="none"/>
                <w:lang w:eastAsia="zh-CN"/>
              </w:rPr>
              <w:t>岳先生</w:t>
            </w:r>
            <w:r>
              <w:rPr>
                <w:rFonts w:hint="eastAsia"/>
                <w:color w:val="auto"/>
                <w:sz w:val="22"/>
                <w:szCs w:val="22"/>
                <w:highlight w:val="none"/>
              </w:rPr>
              <w:t xml:space="preserve"> </w:t>
            </w:r>
          </w:p>
          <w:p>
            <w:pPr>
              <w:adjustRightInd w:val="0"/>
              <w:spacing w:line="300" w:lineRule="exact"/>
              <w:rPr>
                <w:rFonts w:hint="eastAsia" w:eastAsia="宋体"/>
                <w:color w:val="auto"/>
                <w:sz w:val="22"/>
                <w:szCs w:val="22"/>
                <w:highlight w:val="none"/>
                <w:lang w:eastAsia="zh-CN"/>
              </w:rPr>
            </w:pPr>
            <w:r>
              <w:rPr>
                <w:rFonts w:hint="eastAsia"/>
                <w:color w:val="auto"/>
                <w:sz w:val="22"/>
                <w:szCs w:val="22"/>
                <w:highlight w:val="none"/>
              </w:rPr>
              <w:t>联系电话：</w:t>
            </w:r>
            <w:r>
              <w:rPr>
                <w:rFonts w:hint="eastAsia" w:cs="Arial"/>
                <w:color w:val="auto"/>
                <w:sz w:val="22"/>
                <w:szCs w:val="22"/>
                <w:highlight w:val="none"/>
              </w:rPr>
              <w:t>0577-63730213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采购代理机构</w:t>
            </w:r>
          </w:p>
        </w:tc>
        <w:tc>
          <w:tcPr>
            <w:tcW w:w="7905" w:type="dxa"/>
            <w:noWrap w:val="0"/>
            <w:vAlign w:val="center"/>
          </w:tcPr>
          <w:p>
            <w:pPr>
              <w:adjustRightInd w:val="0"/>
              <w:spacing w:line="300" w:lineRule="exact"/>
              <w:rPr>
                <w:rFonts w:hint="eastAsia"/>
                <w:color w:val="auto"/>
                <w:sz w:val="22"/>
                <w:szCs w:val="22"/>
                <w:highlight w:val="none"/>
              </w:rPr>
            </w:pPr>
            <w:r>
              <w:rPr>
                <w:rFonts w:hint="eastAsia"/>
                <w:color w:val="auto"/>
                <w:sz w:val="22"/>
                <w:szCs w:val="22"/>
                <w:highlight w:val="none"/>
              </w:rPr>
              <w:t>名称：浙江名进建设项目管理有限公司</w:t>
            </w:r>
          </w:p>
          <w:p>
            <w:pPr>
              <w:adjustRightInd w:val="0"/>
              <w:spacing w:line="300" w:lineRule="exact"/>
              <w:rPr>
                <w:rFonts w:hint="eastAsia"/>
                <w:color w:val="auto"/>
                <w:sz w:val="22"/>
                <w:szCs w:val="22"/>
                <w:highlight w:val="none"/>
              </w:rPr>
            </w:pPr>
            <w:r>
              <w:rPr>
                <w:rFonts w:hint="eastAsia"/>
                <w:color w:val="auto"/>
                <w:sz w:val="22"/>
                <w:szCs w:val="22"/>
                <w:highlight w:val="none"/>
              </w:rPr>
              <w:t>地址：平阳县鳌江镇车站大道博鳌锦苑4幢702室</w:t>
            </w:r>
          </w:p>
          <w:p>
            <w:pPr>
              <w:adjustRightInd w:val="0"/>
              <w:spacing w:line="300" w:lineRule="exact"/>
              <w:rPr>
                <w:rFonts w:hint="eastAsia"/>
                <w:color w:val="auto"/>
                <w:sz w:val="22"/>
                <w:szCs w:val="22"/>
                <w:highlight w:val="none"/>
              </w:rPr>
            </w:pPr>
            <w:r>
              <w:rPr>
                <w:rFonts w:hint="eastAsia"/>
                <w:color w:val="auto"/>
                <w:sz w:val="22"/>
                <w:szCs w:val="22"/>
                <w:highlight w:val="none"/>
              </w:rPr>
              <w:t>项目负责人：周女士</w:t>
            </w:r>
          </w:p>
          <w:p>
            <w:pPr>
              <w:adjustRightInd w:val="0"/>
              <w:spacing w:line="300" w:lineRule="exact"/>
              <w:rPr>
                <w:color w:val="auto"/>
                <w:sz w:val="22"/>
                <w:szCs w:val="22"/>
                <w:highlight w:val="none"/>
              </w:rPr>
            </w:pPr>
            <w:r>
              <w:rPr>
                <w:rFonts w:hint="eastAsia"/>
                <w:color w:val="auto"/>
                <w:sz w:val="22"/>
                <w:szCs w:val="22"/>
                <w:highlight w:val="none"/>
              </w:rPr>
              <w:t>手机：0577-63639288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评标办法</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招标内容</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投标供应商</w:t>
            </w:r>
          </w:p>
          <w:p>
            <w:pPr>
              <w:spacing w:line="300" w:lineRule="exact"/>
              <w:jc w:val="center"/>
              <w:rPr>
                <w:color w:val="auto"/>
                <w:sz w:val="22"/>
                <w:szCs w:val="22"/>
                <w:highlight w:val="none"/>
              </w:rPr>
            </w:pPr>
            <w:r>
              <w:rPr>
                <w:rFonts w:hint="eastAsia"/>
                <w:color w:val="auto"/>
                <w:sz w:val="22"/>
                <w:szCs w:val="22"/>
                <w:highlight w:val="none"/>
              </w:rPr>
              <w:t>资格要求</w:t>
            </w:r>
          </w:p>
        </w:tc>
        <w:tc>
          <w:tcPr>
            <w:tcW w:w="7905" w:type="dxa"/>
            <w:noWrap w:val="0"/>
            <w:vAlign w:val="center"/>
          </w:tcPr>
          <w:p>
            <w:pPr>
              <w:adjustRightInd w:val="0"/>
              <w:spacing w:line="300" w:lineRule="exact"/>
              <w:rPr>
                <w:color w:val="auto"/>
                <w:kern w:val="28"/>
                <w:sz w:val="22"/>
                <w:szCs w:val="22"/>
                <w:highlight w:val="none"/>
              </w:rPr>
            </w:pPr>
            <w:r>
              <w:rPr>
                <w:rFonts w:hint="eastAsia"/>
                <w:color w:val="auto"/>
                <w:sz w:val="22"/>
                <w:szCs w:val="22"/>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是否接受联合体投标</w:t>
            </w:r>
          </w:p>
        </w:tc>
        <w:tc>
          <w:tcPr>
            <w:tcW w:w="7905" w:type="dxa"/>
            <w:noWrap w:val="0"/>
            <w:vAlign w:val="center"/>
          </w:tcPr>
          <w:p>
            <w:pPr>
              <w:adjustRightInd w:val="0"/>
              <w:spacing w:line="300" w:lineRule="exact"/>
              <w:rPr>
                <w:i/>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i/>
                <w:color w:val="auto"/>
                <w:sz w:val="22"/>
                <w:szCs w:val="22"/>
                <w:highlight w:val="none"/>
              </w:rPr>
              <w:t>不接受</w:t>
            </w:r>
          </w:p>
          <w:p>
            <w:pPr>
              <w:adjustRightInd w:val="0"/>
              <w:spacing w:line="300" w:lineRule="exact"/>
              <w:rPr>
                <w:i/>
                <w:color w:val="auto"/>
                <w:sz w:val="22"/>
                <w:szCs w:val="22"/>
                <w:highlight w:val="none"/>
              </w:rPr>
            </w:pPr>
            <w:r>
              <w:rPr>
                <w:rFonts w:hint="eastAsia"/>
                <w:color w:val="auto"/>
                <w:sz w:val="22"/>
                <w:szCs w:val="22"/>
                <w:highlight w:val="none"/>
              </w:rPr>
              <w:t>□</w:t>
            </w:r>
            <w:r>
              <w:rPr>
                <w:rFonts w:hint="eastAsia"/>
                <w:i/>
                <w:color w:val="auto"/>
                <w:sz w:val="22"/>
                <w:szCs w:val="22"/>
                <w:highlight w:val="none"/>
              </w:rPr>
              <w:t>接受，应满足下列要求：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踏勘现场</w:t>
            </w:r>
          </w:p>
        </w:tc>
        <w:tc>
          <w:tcPr>
            <w:tcW w:w="7905" w:type="dxa"/>
            <w:noWrap w:val="0"/>
            <w:vAlign w:val="center"/>
          </w:tcPr>
          <w:p>
            <w:pPr>
              <w:adjustRightInd w:val="0"/>
              <w:spacing w:line="300" w:lineRule="exact"/>
              <w:rPr>
                <w:i/>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i/>
                <w:color w:val="auto"/>
                <w:sz w:val="22"/>
                <w:szCs w:val="22"/>
                <w:highlight w:val="none"/>
              </w:rPr>
              <w:t>不组织</w:t>
            </w:r>
          </w:p>
          <w:p>
            <w:pPr>
              <w:adjustRightInd w:val="0"/>
              <w:spacing w:line="300" w:lineRule="exact"/>
              <w:rPr>
                <w:i/>
                <w:color w:val="auto"/>
                <w:sz w:val="22"/>
                <w:szCs w:val="22"/>
                <w:highlight w:val="none"/>
              </w:rPr>
            </w:pPr>
            <w:r>
              <w:rPr>
                <w:rFonts w:hint="eastAsia"/>
                <w:color w:val="auto"/>
                <w:sz w:val="22"/>
                <w:szCs w:val="22"/>
                <w:highlight w:val="none"/>
              </w:rPr>
              <w:t>□</w:t>
            </w:r>
            <w:r>
              <w:rPr>
                <w:rFonts w:hint="eastAsia"/>
                <w:i/>
                <w:color w:val="auto"/>
                <w:sz w:val="22"/>
                <w:szCs w:val="22"/>
                <w:highlight w:val="none"/>
              </w:rPr>
              <w:t>组</w:t>
            </w:r>
            <w:r>
              <w:rPr>
                <w:rFonts w:hint="eastAsia"/>
                <w:color w:val="auto"/>
                <w:sz w:val="22"/>
                <w:szCs w:val="22"/>
                <w:highlight w:val="none"/>
              </w:rPr>
              <w:t>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是否允许递交备选投标方案</w:t>
            </w:r>
          </w:p>
        </w:tc>
        <w:tc>
          <w:tcPr>
            <w:tcW w:w="7905" w:type="dxa"/>
            <w:noWrap w:val="0"/>
            <w:vAlign w:val="center"/>
          </w:tcPr>
          <w:p>
            <w:pPr>
              <w:adjustRightInd w:val="0"/>
              <w:spacing w:line="300" w:lineRule="exact"/>
              <w:rPr>
                <w:i/>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i/>
                <w:color w:val="auto"/>
                <w:sz w:val="22"/>
                <w:szCs w:val="22"/>
                <w:highlight w:val="none"/>
              </w:rPr>
              <w:t>不允许</w:t>
            </w:r>
          </w:p>
          <w:p>
            <w:pPr>
              <w:adjustRightInd w:val="0"/>
              <w:spacing w:line="300" w:lineRule="exact"/>
              <w:rPr>
                <w:color w:val="auto"/>
                <w:sz w:val="22"/>
                <w:szCs w:val="22"/>
                <w:highlight w:val="none"/>
              </w:rPr>
            </w:pPr>
            <w:r>
              <w:rPr>
                <w:rFonts w:hint="eastAsia"/>
                <w:color w:val="auto"/>
                <w:sz w:val="22"/>
                <w:szCs w:val="22"/>
                <w:highlight w:val="none"/>
              </w:rPr>
              <w:t xml:space="preserve">□ </w:t>
            </w:r>
            <w:r>
              <w:rPr>
                <w:rFonts w:hint="eastAsia"/>
                <w:i/>
                <w:color w:val="auto"/>
                <w:sz w:val="22"/>
                <w:szCs w:val="22"/>
                <w:highlight w:val="none"/>
              </w:rPr>
              <w:t>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6"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投标货币</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投标语言</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rFonts w:hint="eastAsia"/>
                <w:color w:val="auto"/>
                <w:sz w:val="22"/>
                <w:szCs w:val="22"/>
                <w:highlight w:val="none"/>
              </w:rPr>
            </w:pPr>
            <w:r>
              <w:rPr>
                <w:rFonts w:hint="eastAsia"/>
                <w:color w:val="auto"/>
                <w:sz w:val="22"/>
                <w:szCs w:val="22"/>
                <w:highlight w:val="none"/>
              </w:rPr>
              <w:t>投标文件的组成</w:t>
            </w:r>
          </w:p>
        </w:tc>
        <w:tc>
          <w:tcPr>
            <w:tcW w:w="7905" w:type="dxa"/>
            <w:noWrap w:val="0"/>
            <w:vAlign w:val="center"/>
          </w:tcPr>
          <w:p>
            <w:pPr>
              <w:adjustRightInd w:val="0"/>
              <w:spacing w:line="300" w:lineRule="exact"/>
              <w:rPr>
                <w:rFonts w:hint="eastAsia"/>
                <w:color w:val="auto"/>
                <w:sz w:val="22"/>
                <w:szCs w:val="22"/>
                <w:highlight w:val="none"/>
              </w:rPr>
            </w:pPr>
            <w:r>
              <w:rPr>
                <w:color w:val="auto"/>
                <w:sz w:val="22"/>
                <w:szCs w:val="22"/>
                <w:highlight w:val="none"/>
              </w:rPr>
              <w:t>完整的《投标文件》由</w:t>
            </w:r>
            <w:r>
              <w:rPr>
                <w:rFonts w:hint="eastAsia"/>
                <w:color w:val="auto"/>
                <w:sz w:val="22"/>
                <w:szCs w:val="22"/>
                <w:highlight w:val="none"/>
              </w:rPr>
              <w:t>“资格文件”、</w:t>
            </w:r>
            <w:r>
              <w:rPr>
                <w:color w:val="auto"/>
                <w:sz w:val="22"/>
                <w:szCs w:val="22"/>
                <w:highlight w:val="none"/>
              </w:rPr>
              <w:t>“报价文件”</w:t>
            </w:r>
            <w:r>
              <w:rPr>
                <w:rFonts w:hint="eastAsia"/>
                <w:color w:val="auto"/>
                <w:sz w:val="22"/>
                <w:szCs w:val="22"/>
                <w:highlight w:val="none"/>
              </w:rPr>
              <w:t>和</w:t>
            </w:r>
            <w:r>
              <w:rPr>
                <w:color w:val="auto"/>
                <w:sz w:val="22"/>
                <w:szCs w:val="22"/>
                <w:highlight w:val="none"/>
              </w:rPr>
              <w:t>“</w:t>
            </w:r>
            <w:r>
              <w:rPr>
                <w:rFonts w:hint="eastAsia"/>
                <w:color w:val="auto"/>
                <w:sz w:val="22"/>
                <w:szCs w:val="22"/>
                <w:highlight w:val="none"/>
              </w:rPr>
              <w:t>商务</w:t>
            </w:r>
            <w:r>
              <w:rPr>
                <w:color w:val="auto"/>
                <w:sz w:val="22"/>
                <w:szCs w:val="22"/>
                <w:highlight w:val="none"/>
              </w:rPr>
              <w:t>技术文件”</w:t>
            </w:r>
            <w:r>
              <w:rPr>
                <w:rFonts w:hint="eastAsia"/>
                <w:color w:val="auto"/>
                <w:sz w:val="22"/>
                <w:szCs w:val="22"/>
                <w:highlight w:val="none"/>
              </w:rPr>
              <w:t>三</w:t>
            </w:r>
            <w:r>
              <w:rPr>
                <w:color w:val="auto"/>
                <w:sz w:val="22"/>
                <w:szCs w:val="22"/>
                <w:highlight w:val="none"/>
              </w:rPr>
              <w:t>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投标文件的编制</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6"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签字或盖章要求</w:t>
            </w:r>
          </w:p>
        </w:tc>
        <w:tc>
          <w:tcPr>
            <w:tcW w:w="7905" w:type="dxa"/>
            <w:noWrap w:val="0"/>
            <w:vAlign w:val="center"/>
          </w:tcPr>
          <w:p>
            <w:pPr>
              <w:snapToGrid w:val="0"/>
              <w:spacing w:line="360" w:lineRule="atLeast"/>
              <w:rPr>
                <w:rFonts w:hint="eastAsia"/>
                <w:color w:val="auto"/>
                <w:sz w:val="22"/>
                <w:szCs w:val="22"/>
                <w:highlight w:val="none"/>
              </w:rPr>
            </w:pPr>
            <w:r>
              <w:rPr>
                <w:rFonts w:hint="eastAsia"/>
                <w:b/>
                <w:color w:val="auto"/>
                <w:sz w:val="22"/>
                <w:szCs w:val="22"/>
                <w:highlight w:val="none"/>
                <w:lang w:bidi="ar"/>
              </w:rPr>
              <w:t>电子签章。</w:t>
            </w:r>
            <w:r>
              <w:rPr>
                <w:rFonts w:hint="eastAsia"/>
                <w:color w:val="auto"/>
                <w:sz w:val="22"/>
                <w:szCs w:val="22"/>
                <w:highlight w:val="none"/>
              </w:rPr>
              <w:t>采购文件所指的加盖单位公章为电子签章。</w:t>
            </w:r>
          </w:p>
          <w:p>
            <w:pPr>
              <w:spacing w:line="300" w:lineRule="exact"/>
              <w:rPr>
                <w:color w:val="auto"/>
                <w:sz w:val="22"/>
                <w:szCs w:val="22"/>
                <w:highlight w:val="none"/>
              </w:rPr>
            </w:pPr>
            <w:r>
              <w:rPr>
                <w:rFonts w:hint="eastAsia"/>
                <w:color w:val="auto"/>
                <w:sz w:val="22"/>
                <w:szCs w:val="22"/>
                <w:highlight w:val="none"/>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6"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rFonts w:hint="eastAsia"/>
                <w:color w:val="auto"/>
                <w:sz w:val="22"/>
                <w:szCs w:val="22"/>
                <w:highlight w:val="none"/>
              </w:rPr>
            </w:pPr>
            <w:r>
              <w:rPr>
                <w:rFonts w:hint="eastAsia"/>
                <w:color w:val="auto"/>
                <w:sz w:val="22"/>
                <w:szCs w:val="22"/>
                <w:highlight w:val="none"/>
              </w:rPr>
              <w:t>投标文件的形式</w:t>
            </w:r>
          </w:p>
        </w:tc>
        <w:tc>
          <w:tcPr>
            <w:tcW w:w="7905" w:type="dxa"/>
            <w:noWrap w:val="0"/>
            <w:vAlign w:val="center"/>
          </w:tcPr>
          <w:p>
            <w:pPr>
              <w:adjustRightInd w:val="0"/>
              <w:rPr>
                <w:rFonts w:hint="eastAsia"/>
                <w:color w:val="auto"/>
                <w:sz w:val="22"/>
                <w:szCs w:val="22"/>
                <w:highlight w:val="none"/>
              </w:rPr>
            </w:pPr>
            <w:r>
              <w:rPr>
                <w:color w:val="auto"/>
                <w:sz w:val="22"/>
                <w:szCs w:val="22"/>
                <w:highlight w:val="none"/>
              </w:rPr>
              <w:t>☑</w:t>
            </w:r>
            <w:r>
              <w:rPr>
                <w:rFonts w:hint="eastAsia"/>
                <w:color w:val="auto"/>
                <w:sz w:val="22"/>
                <w:szCs w:val="22"/>
                <w:highlight w:val="none"/>
              </w:rPr>
              <w:t>电子投标文件（包括“电子加密投标文件”和“备份投标文件”，在投标文件编制完成后同时生成）；</w:t>
            </w:r>
          </w:p>
          <w:p>
            <w:pPr>
              <w:adjustRightInd w:val="0"/>
              <w:rPr>
                <w:rFonts w:hint="eastAsia"/>
                <w:color w:val="auto"/>
                <w:sz w:val="22"/>
                <w:szCs w:val="22"/>
                <w:highlight w:val="none"/>
              </w:rPr>
            </w:pPr>
            <w:r>
              <w:rPr>
                <w:rFonts w:hint="eastAsia"/>
                <w:color w:val="auto"/>
                <w:sz w:val="22"/>
                <w:szCs w:val="22"/>
                <w:highlight w:val="none"/>
              </w:rPr>
              <w:t>（1）“电子加密投标文件”是指通过“政采云电子交易客户端”完成投标文件编制后生成并加密的数据电文形式的投标文件。</w:t>
            </w:r>
          </w:p>
          <w:p>
            <w:pPr>
              <w:adjustRightInd w:val="0"/>
              <w:snapToGrid w:val="0"/>
              <w:rPr>
                <w:rFonts w:hint="eastAsia"/>
                <w:color w:val="auto"/>
                <w:sz w:val="22"/>
                <w:szCs w:val="22"/>
                <w:highlight w:val="none"/>
              </w:rPr>
            </w:pPr>
            <w:r>
              <w:rPr>
                <w:rFonts w:hint="eastAsia"/>
                <w:color w:val="auto"/>
                <w:sz w:val="22"/>
                <w:szCs w:val="22"/>
                <w:highlight w:val="none"/>
              </w:rPr>
              <w:t>（2）“备份投标文件”是指与“电子加密投标文件”同时生成的数据电文形式的电子文件（备份标书），其他方式编制的备份投标文件视为无效备份投标文件。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7"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投标文件份数</w:t>
            </w:r>
          </w:p>
        </w:tc>
        <w:tc>
          <w:tcPr>
            <w:tcW w:w="7905" w:type="dxa"/>
            <w:noWrap w:val="0"/>
            <w:vAlign w:val="center"/>
          </w:tcPr>
          <w:p>
            <w:pPr>
              <w:pStyle w:val="16"/>
              <w:widowControl w:val="0"/>
              <w:numPr>
                <w:ilvl w:val="0"/>
                <w:numId w:val="2"/>
              </w:numPr>
              <w:tabs>
                <w:tab w:val="right" w:leader="dot" w:pos="9118"/>
              </w:tabs>
              <w:adjustRightInd w:val="0"/>
              <w:spacing w:line="300" w:lineRule="exact"/>
              <w:jc w:val="both"/>
              <w:rPr>
                <w:rFonts w:hint="eastAsia"/>
                <w:color w:val="auto"/>
                <w:sz w:val="22"/>
                <w:szCs w:val="22"/>
                <w:highlight w:val="none"/>
              </w:rPr>
            </w:pPr>
            <w:r>
              <w:rPr>
                <w:rFonts w:hint="eastAsia"/>
                <w:color w:val="auto"/>
                <w:sz w:val="22"/>
                <w:szCs w:val="22"/>
                <w:highlight w:val="none"/>
              </w:rPr>
              <w:t>“电子加密投标文件”：在线上传递交、一份。</w:t>
            </w:r>
          </w:p>
          <w:p>
            <w:pPr>
              <w:pStyle w:val="16"/>
              <w:widowControl w:val="0"/>
              <w:numPr>
                <w:ilvl w:val="0"/>
                <w:numId w:val="2"/>
              </w:numPr>
              <w:tabs>
                <w:tab w:val="right" w:leader="dot" w:pos="9118"/>
              </w:tabs>
              <w:adjustRightInd w:val="0"/>
              <w:spacing w:line="300" w:lineRule="exact"/>
              <w:jc w:val="both"/>
              <w:rPr>
                <w:color w:val="auto"/>
                <w:sz w:val="22"/>
                <w:szCs w:val="22"/>
                <w:highlight w:val="none"/>
              </w:rPr>
            </w:pPr>
            <w:r>
              <w:rPr>
                <w:rFonts w:hint="eastAsia"/>
                <w:color w:val="auto"/>
                <w:sz w:val="22"/>
                <w:szCs w:val="22"/>
                <w:highlight w:val="none"/>
              </w:rPr>
              <w:t>“备份投标文件”：密封包装后（邮寄形式投标截止时间前递交、一份（邮寄地址：平阳县鳌江镇车站大道博鳌锦苑4幢702室 王女士收0577-63639288））。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21"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投标文件的上传和递交</w:t>
            </w:r>
          </w:p>
        </w:tc>
        <w:tc>
          <w:tcPr>
            <w:tcW w:w="7905" w:type="dxa"/>
            <w:noWrap w:val="0"/>
            <w:vAlign w:val="center"/>
          </w:tcPr>
          <w:p>
            <w:pPr>
              <w:adjustRightInd w:val="0"/>
              <w:rPr>
                <w:rFonts w:hint="eastAsia"/>
                <w:color w:val="auto"/>
                <w:sz w:val="22"/>
                <w:szCs w:val="22"/>
                <w:highlight w:val="none"/>
              </w:rPr>
            </w:pPr>
            <w:r>
              <w:rPr>
                <w:rFonts w:hint="eastAsia"/>
                <w:color w:val="auto"/>
                <w:sz w:val="22"/>
                <w:szCs w:val="22"/>
                <w:highlight w:val="none"/>
              </w:rPr>
              <w:t>（1）“电子加密投标文件”的上传、递交：</w:t>
            </w:r>
          </w:p>
          <w:p>
            <w:pPr>
              <w:adjustRightInd w:val="0"/>
              <w:rPr>
                <w:rFonts w:hint="eastAsia"/>
                <w:color w:val="auto"/>
                <w:sz w:val="22"/>
                <w:szCs w:val="22"/>
                <w:highlight w:val="none"/>
              </w:rPr>
            </w:pPr>
            <w:r>
              <w:rPr>
                <w:rFonts w:hint="eastAsia"/>
                <w:color w:val="auto"/>
                <w:sz w:val="22"/>
                <w:szCs w:val="22"/>
                <w:highlight w:val="none"/>
              </w:rPr>
              <w:t>a.投标供应商应在投标截止时间前将“电子加密投标文件”成功上传递交至“政府采购云平台”，否则投标无效。</w:t>
            </w:r>
          </w:p>
          <w:p>
            <w:pPr>
              <w:adjustRightInd w:val="0"/>
              <w:rPr>
                <w:rFonts w:hint="eastAsia"/>
                <w:color w:val="auto"/>
                <w:sz w:val="22"/>
                <w:szCs w:val="22"/>
                <w:highlight w:val="none"/>
              </w:rPr>
            </w:pPr>
            <w:r>
              <w:rPr>
                <w:rFonts w:hint="eastAsia"/>
                <w:color w:val="auto"/>
                <w:sz w:val="22"/>
                <w:szCs w:val="22"/>
                <w:highlight w:val="none"/>
              </w:rPr>
              <w:t>b.“电子加密投标文件”成功上传递交后，供应商可自行打印投标文件接收回执。</w:t>
            </w:r>
          </w:p>
          <w:p>
            <w:pPr>
              <w:adjustRightInd w:val="0"/>
              <w:rPr>
                <w:rFonts w:hint="eastAsia"/>
                <w:color w:val="auto"/>
                <w:sz w:val="22"/>
                <w:szCs w:val="22"/>
                <w:highlight w:val="none"/>
              </w:rPr>
            </w:pPr>
            <w:r>
              <w:rPr>
                <w:rFonts w:hint="eastAsia"/>
                <w:color w:val="auto"/>
                <w:sz w:val="22"/>
                <w:szCs w:val="22"/>
                <w:highlight w:val="none"/>
              </w:rPr>
              <w:t>（2）“备份投标文件”的密封包装、递交：</w:t>
            </w:r>
          </w:p>
          <w:p>
            <w:pPr>
              <w:adjustRightInd w:val="0"/>
              <w:rPr>
                <w:rFonts w:hint="eastAsia"/>
                <w:color w:val="auto"/>
                <w:sz w:val="22"/>
                <w:szCs w:val="22"/>
                <w:highlight w:val="none"/>
              </w:rPr>
            </w:pPr>
            <w:r>
              <w:rPr>
                <w:rFonts w:hint="eastAsia"/>
                <w:color w:val="auto"/>
                <w:sz w:val="22"/>
                <w:szCs w:val="22"/>
                <w:highlight w:val="none"/>
              </w:rPr>
              <w:t>a.投标供应商在“政府采购云平台”完成“电子加密投标文件”的上传递交后，还可以（邮寄形式）在投标截止时间前递交以介质（U盘）存储的 “备份投标文件”（一份）；</w:t>
            </w:r>
          </w:p>
          <w:p>
            <w:pPr>
              <w:adjustRightInd w:val="0"/>
              <w:rPr>
                <w:rFonts w:hint="eastAsia"/>
                <w:color w:val="auto"/>
                <w:sz w:val="22"/>
                <w:szCs w:val="22"/>
                <w:highlight w:val="none"/>
              </w:rPr>
            </w:pPr>
            <w:r>
              <w:rPr>
                <w:rFonts w:hint="eastAsia"/>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pPr>
              <w:adjustRightInd w:val="0"/>
              <w:rPr>
                <w:color w:val="auto"/>
                <w:sz w:val="22"/>
                <w:szCs w:val="22"/>
                <w:highlight w:val="none"/>
              </w:rPr>
            </w:pPr>
            <w:r>
              <w:rPr>
                <w:rFonts w:hint="eastAsia"/>
                <w:color w:val="auto"/>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rFonts w:hint="eastAsia"/>
                <w:color w:val="auto"/>
                <w:sz w:val="22"/>
                <w:szCs w:val="22"/>
                <w:highlight w:val="none"/>
              </w:rPr>
            </w:pPr>
            <w:r>
              <w:rPr>
                <w:rFonts w:hint="eastAsia"/>
                <w:color w:val="auto"/>
                <w:sz w:val="22"/>
                <w:szCs w:val="22"/>
                <w:highlight w:val="none"/>
              </w:rPr>
              <w:t>电子加密投标文件的解密和异常情况处理</w:t>
            </w:r>
          </w:p>
        </w:tc>
        <w:tc>
          <w:tcPr>
            <w:tcW w:w="7905" w:type="dxa"/>
            <w:noWrap w:val="0"/>
            <w:vAlign w:val="center"/>
          </w:tcPr>
          <w:p>
            <w:pPr>
              <w:rPr>
                <w:rFonts w:hint="eastAsia"/>
                <w:color w:val="auto"/>
                <w:sz w:val="22"/>
                <w:szCs w:val="22"/>
                <w:highlight w:val="none"/>
              </w:rPr>
            </w:pPr>
            <w:r>
              <w:rPr>
                <w:rFonts w:hint="eastAsia"/>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rPr>
                <w:rFonts w:hint="eastAsia"/>
                <w:color w:val="auto"/>
                <w:sz w:val="22"/>
                <w:szCs w:val="22"/>
                <w:highlight w:val="none"/>
              </w:rPr>
            </w:pPr>
            <w:r>
              <w:rPr>
                <w:rFonts w:hint="eastAsia"/>
                <w:color w:val="auto"/>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adjustRightInd w:val="0"/>
              <w:rPr>
                <w:rFonts w:hint="eastAsia"/>
                <w:color w:val="auto"/>
                <w:sz w:val="22"/>
                <w:szCs w:val="22"/>
                <w:highlight w:val="none"/>
              </w:rPr>
            </w:pPr>
            <w:r>
              <w:rPr>
                <w:rFonts w:hint="eastAsia"/>
                <w:color w:val="auto"/>
                <w:sz w:val="22"/>
                <w:szCs w:val="22"/>
                <w:highlight w:val="none"/>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81"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投标有效期</w:t>
            </w:r>
          </w:p>
        </w:tc>
        <w:tc>
          <w:tcPr>
            <w:tcW w:w="7905" w:type="dxa"/>
            <w:noWrap w:val="0"/>
            <w:vAlign w:val="center"/>
          </w:tcPr>
          <w:p>
            <w:pPr>
              <w:spacing w:line="300" w:lineRule="exact"/>
              <w:rPr>
                <w:i/>
                <w:color w:val="auto"/>
                <w:sz w:val="22"/>
                <w:szCs w:val="22"/>
                <w:highlight w:val="none"/>
              </w:rPr>
            </w:pPr>
            <w:r>
              <w:rPr>
                <w:rFonts w:hint="eastAsia"/>
                <w:i/>
                <w:color w:val="auto"/>
                <w:sz w:val="22"/>
                <w:szCs w:val="22"/>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7"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投标样品</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pPr>
              <w:spacing w:line="300" w:lineRule="exact"/>
              <w:rPr>
                <w:color w:val="auto"/>
                <w:sz w:val="22"/>
                <w:szCs w:val="22"/>
                <w:highlight w:val="none"/>
              </w:rPr>
            </w:pPr>
            <w:r>
              <w:rPr>
                <w:rFonts w:hint="eastAsia"/>
                <w:color w:val="auto"/>
                <w:sz w:val="22"/>
                <w:szCs w:val="22"/>
                <w:highlight w:val="none"/>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履约担保</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pPr>
              <w:adjustRightInd w:val="0"/>
              <w:spacing w:line="300" w:lineRule="exact"/>
              <w:rPr>
                <w:color w:val="auto"/>
                <w:sz w:val="22"/>
                <w:szCs w:val="22"/>
                <w:highlight w:val="none"/>
              </w:rPr>
            </w:pPr>
            <w:r>
              <w:rPr>
                <w:rFonts w:hint="eastAsia"/>
                <w:color w:val="auto"/>
                <w:sz w:val="22"/>
                <w:szCs w:val="22"/>
                <w:highlight w:val="none"/>
              </w:rPr>
              <w:t xml:space="preserve">☑需要 </w:t>
            </w:r>
            <w:r>
              <w:rPr>
                <w:rFonts w:hint="eastAsia"/>
                <w:bCs/>
                <w:color w:val="auto"/>
                <w:sz w:val="22"/>
                <w:szCs w:val="22"/>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rFonts w:hint="eastAsia"/>
                <w:color w:val="auto"/>
                <w:sz w:val="22"/>
                <w:szCs w:val="22"/>
                <w:highlight w:val="none"/>
              </w:rPr>
            </w:pPr>
            <w:r>
              <w:rPr>
                <w:rFonts w:hint="eastAsia"/>
                <w:color w:val="auto"/>
                <w:sz w:val="22"/>
                <w:szCs w:val="22"/>
                <w:highlight w:val="none"/>
              </w:rPr>
              <w:t>投标保证金</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pPr>
              <w:adjustRightInd w:val="0"/>
              <w:spacing w:line="300" w:lineRule="exact"/>
              <w:rPr>
                <w:rFonts w:hint="eastAsia"/>
                <w:color w:val="auto"/>
                <w:sz w:val="22"/>
                <w:szCs w:val="22"/>
                <w:highlight w:val="none"/>
              </w:rPr>
            </w:pPr>
            <w:r>
              <w:rPr>
                <w:rFonts w:hint="eastAsia"/>
                <w:color w:val="auto"/>
                <w:sz w:val="22"/>
                <w:szCs w:val="22"/>
                <w:highlight w:val="none"/>
              </w:rPr>
              <w:t xml:space="preserve">□需要 </w:t>
            </w:r>
            <w:r>
              <w:rPr>
                <w:rFonts w:hint="eastAsia"/>
                <w:bCs/>
                <w:color w:val="auto"/>
                <w:sz w:val="22"/>
                <w:szCs w:val="22"/>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04"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napToGrid w:val="0"/>
              <w:spacing w:line="300" w:lineRule="exact"/>
              <w:jc w:val="center"/>
              <w:rPr>
                <w:color w:val="auto"/>
                <w:sz w:val="22"/>
                <w:szCs w:val="22"/>
                <w:highlight w:val="none"/>
              </w:rPr>
            </w:pPr>
            <w:r>
              <w:rPr>
                <w:rFonts w:hint="eastAsia"/>
                <w:color w:val="auto"/>
                <w:sz w:val="22"/>
                <w:szCs w:val="22"/>
                <w:highlight w:val="none"/>
              </w:rPr>
              <w:t>质疑受理联系方式</w:t>
            </w:r>
          </w:p>
        </w:tc>
        <w:tc>
          <w:tcPr>
            <w:tcW w:w="7905" w:type="dxa"/>
            <w:noWrap w:val="0"/>
            <w:vAlign w:val="center"/>
          </w:tcPr>
          <w:p>
            <w:pPr>
              <w:adjustRightInd w:val="0"/>
              <w:spacing w:line="300" w:lineRule="exact"/>
              <w:rPr>
                <w:rFonts w:hint="eastAsia"/>
                <w:color w:val="auto"/>
                <w:sz w:val="22"/>
                <w:szCs w:val="22"/>
                <w:highlight w:val="none"/>
              </w:rPr>
            </w:pPr>
            <w:r>
              <w:rPr>
                <w:rFonts w:hint="eastAsia"/>
                <w:color w:val="auto"/>
                <w:sz w:val="22"/>
                <w:szCs w:val="22"/>
                <w:highlight w:val="none"/>
              </w:rPr>
              <w:t>浙江名进建设项目管理有限公司</w:t>
            </w:r>
          </w:p>
          <w:p>
            <w:pPr>
              <w:adjustRightInd w:val="0"/>
              <w:spacing w:line="300" w:lineRule="exact"/>
              <w:rPr>
                <w:rFonts w:hint="eastAsia"/>
                <w:color w:val="auto"/>
                <w:sz w:val="22"/>
                <w:szCs w:val="22"/>
                <w:highlight w:val="none"/>
              </w:rPr>
            </w:pPr>
            <w:r>
              <w:rPr>
                <w:rFonts w:hint="eastAsia"/>
                <w:color w:val="auto"/>
                <w:sz w:val="22"/>
                <w:szCs w:val="22"/>
                <w:highlight w:val="none"/>
              </w:rPr>
              <w:t>地址：平阳县鳌江镇车站大道博鳌锦苑4幢702室</w:t>
            </w:r>
          </w:p>
          <w:p>
            <w:pPr>
              <w:adjustRightInd w:val="0"/>
              <w:spacing w:line="300" w:lineRule="exact"/>
              <w:rPr>
                <w:rFonts w:hint="eastAsia"/>
                <w:color w:val="auto"/>
                <w:sz w:val="22"/>
                <w:szCs w:val="22"/>
                <w:highlight w:val="none"/>
              </w:rPr>
            </w:pPr>
            <w:r>
              <w:rPr>
                <w:rFonts w:hint="eastAsia"/>
                <w:color w:val="auto"/>
                <w:sz w:val="22"/>
                <w:szCs w:val="22"/>
                <w:highlight w:val="none"/>
              </w:rPr>
              <w:t>项目负责人：周女士</w:t>
            </w:r>
          </w:p>
          <w:p>
            <w:pPr>
              <w:snapToGrid w:val="0"/>
              <w:spacing w:line="300" w:lineRule="exact"/>
              <w:rPr>
                <w:color w:val="auto"/>
                <w:sz w:val="22"/>
                <w:szCs w:val="22"/>
                <w:highlight w:val="none"/>
              </w:rPr>
            </w:pPr>
            <w:r>
              <w:rPr>
                <w:rFonts w:hint="eastAsia"/>
                <w:color w:val="auto"/>
                <w:sz w:val="22"/>
                <w:szCs w:val="22"/>
                <w:highlight w:val="none"/>
              </w:rPr>
              <w:t>手机：0577-63639288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4"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napToGrid w:val="0"/>
              <w:spacing w:line="300" w:lineRule="exact"/>
              <w:jc w:val="center"/>
              <w:rPr>
                <w:color w:val="auto"/>
                <w:sz w:val="22"/>
                <w:szCs w:val="22"/>
                <w:highlight w:val="none"/>
              </w:rPr>
            </w:pPr>
            <w:r>
              <w:rPr>
                <w:rFonts w:hint="eastAsia"/>
                <w:color w:val="auto"/>
                <w:sz w:val="22"/>
                <w:szCs w:val="22"/>
                <w:highlight w:val="none"/>
              </w:rPr>
              <w:t>投诉</w:t>
            </w:r>
          </w:p>
        </w:tc>
        <w:tc>
          <w:tcPr>
            <w:tcW w:w="7905" w:type="dxa"/>
            <w:noWrap w:val="0"/>
            <w:vAlign w:val="center"/>
          </w:tcPr>
          <w:p>
            <w:pPr>
              <w:snapToGrid w:val="0"/>
              <w:spacing w:line="300" w:lineRule="exact"/>
              <w:rPr>
                <w:color w:val="auto"/>
                <w:sz w:val="22"/>
                <w:szCs w:val="22"/>
                <w:highlight w:val="none"/>
              </w:rPr>
            </w:pPr>
            <w:r>
              <w:rPr>
                <w:rFonts w:hint="eastAsia"/>
                <w:color w:val="auto"/>
                <w:sz w:val="22"/>
                <w:szCs w:val="22"/>
                <w:highlight w:val="none"/>
                <w:shd w:val="clear" w:color="auto" w:fill="FFFFFF"/>
              </w:rPr>
              <w:t>根据</w:t>
            </w:r>
            <w:r>
              <w:rPr>
                <w:rFonts w:hint="eastAsia"/>
                <w:color w:val="auto"/>
                <w:sz w:val="22"/>
                <w:szCs w:val="22"/>
                <w:highlight w:val="none"/>
              </w:rPr>
              <w:t>《政府采购质疑和投诉办法》的规定，</w:t>
            </w:r>
            <w:r>
              <w:rPr>
                <w:rFonts w:hint="eastAsia"/>
                <w:color w:val="auto"/>
                <w:sz w:val="22"/>
                <w:szCs w:val="22"/>
                <w:highlight w:val="none"/>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4"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napToGrid w:val="0"/>
              <w:spacing w:line="300" w:lineRule="exact"/>
              <w:jc w:val="center"/>
              <w:rPr>
                <w:color w:val="auto"/>
                <w:sz w:val="22"/>
                <w:szCs w:val="22"/>
                <w:highlight w:val="none"/>
              </w:rPr>
            </w:pPr>
            <w:r>
              <w:rPr>
                <w:rFonts w:hint="eastAsia"/>
                <w:color w:val="auto"/>
                <w:sz w:val="22"/>
                <w:szCs w:val="22"/>
                <w:highlight w:val="none"/>
              </w:rPr>
              <w:t>投诉受理联系方式</w:t>
            </w:r>
          </w:p>
        </w:tc>
        <w:tc>
          <w:tcPr>
            <w:tcW w:w="7905" w:type="dxa"/>
            <w:noWrap w:val="0"/>
            <w:vAlign w:val="center"/>
          </w:tcPr>
          <w:p>
            <w:pPr>
              <w:snapToGrid w:val="0"/>
              <w:spacing w:line="300" w:lineRule="exact"/>
              <w:rPr>
                <w:color w:val="auto"/>
                <w:sz w:val="22"/>
                <w:szCs w:val="22"/>
                <w:highlight w:val="none"/>
              </w:rPr>
            </w:pPr>
            <w:r>
              <w:rPr>
                <w:color w:val="auto"/>
                <w:sz w:val="22"/>
                <w:szCs w:val="22"/>
                <w:highlight w:val="none"/>
              </w:rPr>
              <w:t>平阳县财政局政府采购监督管理科</w:t>
            </w:r>
          </w:p>
          <w:p>
            <w:pPr>
              <w:snapToGrid w:val="0"/>
              <w:spacing w:line="300" w:lineRule="exact"/>
              <w:rPr>
                <w:color w:val="auto"/>
                <w:sz w:val="22"/>
                <w:szCs w:val="22"/>
                <w:highlight w:val="none"/>
              </w:rPr>
            </w:pPr>
            <w:r>
              <w:rPr>
                <w:color w:val="auto"/>
                <w:sz w:val="22"/>
                <w:szCs w:val="22"/>
                <w:highlight w:val="none"/>
              </w:rPr>
              <w:t>联系人：陈先生</w:t>
            </w:r>
          </w:p>
          <w:p>
            <w:pPr>
              <w:snapToGrid w:val="0"/>
              <w:spacing w:line="300" w:lineRule="exact"/>
              <w:rPr>
                <w:color w:val="auto"/>
                <w:sz w:val="22"/>
                <w:szCs w:val="22"/>
                <w:highlight w:val="none"/>
              </w:rPr>
            </w:pPr>
            <w:r>
              <w:rPr>
                <w:color w:val="auto"/>
                <w:sz w:val="22"/>
                <w:szCs w:val="22"/>
                <w:highlight w:val="none"/>
              </w:rPr>
              <w:t>监督投诉电话：0577-63889763</w:t>
            </w:r>
          </w:p>
          <w:p>
            <w:pPr>
              <w:snapToGrid w:val="0"/>
              <w:spacing w:line="300" w:lineRule="exact"/>
              <w:rPr>
                <w:color w:val="auto"/>
                <w:sz w:val="22"/>
                <w:szCs w:val="22"/>
                <w:highlight w:val="none"/>
              </w:rPr>
            </w:pPr>
            <w:r>
              <w:rPr>
                <w:color w:val="auto"/>
                <w:sz w:val="22"/>
                <w:szCs w:val="22"/>
                <w:highlight w:val="none"/>
              </w:rPr>
              <w:t>传真：0577-63889959</w:t>
            </w:r>
          </w:p>
          <w:p>
            <w:pPr>
              <w:snapToGrid w:val="0"/>
              <w:spacing w:line="300" w:lineRule="exact"/>
              <w:rPr>
                <w:color w:val="auto"/>
                <w:sz w:val="22"/>
                <w:szCs w:val="22"/>
                <w:highlight w:val="none"/>
              </w:rPr>
            </w:pPr>
            <w:r>
              <w:rPr>
                <w:color w:val="auto"/>
                <w:sz w:val="22"/>
                <w:szCs w:val="22"/>
                <w:highlight w:val="none"/>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7"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投标截止时间</w:t>
            </w:r>
          </w:p>
        </w:tc>
        <w:tc>
          <w:tcPr>
            <w:tcW w:w="7905" w:type="dxa"/>
            <w:noWrap w:val="0"/>
            <w:vAlign w:val="center"/>
          </w:tcPr>
          <w:p>
            <w:pPr>
              <w:spacing w:line="300" w:lineRule="exact"/>
              <w:rPr>
                <w:color w:val="auto"/>
                <w:sz w:val="22"/>
                <w:szCs w:val="22"/>
                <w:highlight w:val="none"/>
              </w:rPr>
            </w:pPr>
            <w:r>
              <w:rPr>
                <w:rFonts w:hint="eastAsia"/>
                <w:i/>
                <w:color w:val="auto"/>
                <w:sz w:val="22"/>
                <w:szCs w:val="22"/>
                <w:highlight w:val="none"/>
              </w:rPr>
              <w:t>2020年</w:t>
            </w:r>
            <w:r>
              <w:rPr>
                <w:rFonts w:hint="eastAsia" w:cs="Times New Roman"/>
                <w:color w:val="auto"/>
                <w:sz w:val="22"/>
                <w:szCs w:val="22"/>
                <w:highlight w:val="none"/>
              </w:rPr>
              <w:t xml:space="preserve">  月 日</w:t>
            </w:r>
            <w:r>
              <w:rPr>
                <w:rFonts w:hint="eastAsia"/>
                <w:color w:val="auto"/>
                <w:sz w:val="22"/>
                <w:szCs w:val="22"/>
                <w:highlight w:val="none"/>
              </w:rPr>
              <w:t>　上午09：30</w:t>
            </w:r>
            <w:r>
              <w:rPr>
                <w:rFonts w:hint="eastAsia"/>
                <w:i/>
                <w:color w:val="auto"/>
                <w:sz w:val="22"/>
                <w:szCs w:val="22"/>
                <w:highlight w:val="none"/>
              </w:rPr>
              <w:t>截止(北京</w:t>
            </w:r>
            <w:r>
              <w:rPr>
                <w:rFonts w:hint="eastAsia"/>
                <w:color w:val="auto"/>
                <w:sz w:val="22"/>
                <w:szCs w:val="22"/>
                <w:highlight w:val="none"/>
              </w:rPr>
              <w:t>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6"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开标时间</w:t>
            </w:r>
          </w:p>
          <w:p>
            <w:pPr>
              <w:spacing w:line="300" w:lineRule="exact"/>
              <w:jc w:val="center"/>
              <w:rPr>
                <w:color w:val="auto"/>
                <w:sz w:val="22"/>
                <w:szCs w:val="22"/>
                <w:highlight w:val="none"/>
              </w:rPr>
            </w:pPr>
            <w:r>
              <w:rPr>
                <w:rFonts w:hint="eastAsia"/>
                <w:color w:val="auto"/>
                <w:sz w:val="22"/>
                <w:szCs w:val="22"/>
                <w:highlight w:val="none"/>
              </w:rPr>
              <w:t>评审地点</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开标时间：</w:t>
            </w:r>
            <w:r>
              <w:rPr>
                <w:rFonts w:hint="eastAsia"/>
                <w:i/>
                <w:color w:val="auto"/>
                <w:sz w:val="22"/>
                <w:szCs w:val="22"/>
                <w:highlight w:val="none"/>
              </w:rPr>
              <w:t>2020年</w:t>
            </w:r>
            <w:r>
              <w:rPr>
                <w:rFonts w:hint="eastAsia" w:cs="Times New Roman"/>
                <w:color w:val="auto"/>
                <w:sz w:val="22"/>
                <w:szCs w:val="22"/>
                <w:highlight w:val="none"/>
              </w:rPr>
              <w:t xml:space="preserve">  月 日</w:t>
            </w:r>
            <w:r>
              <w:rPr>
                <w:rFonts w:hint="eastAsia"/>
                <w:color w:val="auto"/>
                <w:sz w:val="22"/>
                <w:szCs w:val="22"/>
                <w:highlight w:val="none"/>
              </w:rPr>
              <w:t>　上午09：30</w:t>
            </w:r>
            <w:r>
              <w:rPr>
                <w:rFonts w:hint="eastAsia"/>
                <w:i/>
                <w:color w:val="auto"/>
                <w:sz w:val="22"/>
                <w:szCs w:val="22"/>
                <w:highlight w:val="none"/>
              </w:rPr>
              <w:t xml:space="preserve">正 </w:t>
            </w:r>
            <w:r>
              <w:rPr>
                <w:rFonts w:hint="eastAsia"/>
                <w:color w:val="auto"/>
                <w:sz w:val="22"/>
                <w:szCs w:val="22"/>
                <w:highlight w:val="none"/>
              </w:rPr>
              <w:t>(北京时间)</w:t>
            </w:r>
          </w:p>
          <w:p>
            <w:pPr>
              <w:spacing w:line="300" w:lineRule="exact"/>
              <w:rPr>
                <w:color w:val="auto"/>
                <w:sz w:val="22"/>
                <w:szCs w:val="22"/>
                <w:highlight w:val="none"/>
              </w:rPr>
            </w:pPr>
            <w:r>
              <w:rPr>
                <w:rFonts w:hint="eastAsia"/>
                <w:color w:val="auto"/>
                <w:sz w:val="22"/>
                <w:szCs w:val="22"/>
                <w:highlight w:val="none"/>
              </w:rPr>
              <w:t>评审地点：平阳县公共资源交易中心三楼评标室（</w:t>
            </w:r>
            <w:r>
              <w:rPr>
                <w:color w:val="auto"/>
                <w:sz w:val="22"/>
                <w:szCs w:val="22"/>
                <w:highlight w:val="none"/>
              </w:rPr>
              <w:t>平阳县鳌江镇</w:t>
            </w:r>
            <w:r>
              <w:rPr>
                <w:rFonts w:hint="eastAsia"/>
                <w:color w:val="auto"/>
                <w:sz w:val="22"/>
                <w:szCs w:val="22"/>
                <w:highlight w:val="none"/>
              </w:rPr>
              <w:t>火车站大道和谐家园三</w:t>
            </w:r>
            <w:r>
              <w:rPr>
                <w:color w:val="auto"/>
                <w:sz w:val="22"/>
                <w:szCs w:val="22"/>
                <w:highlight w:val="none"/>
              </w:rPr>
              <w:t>楼</w:t>
            </w:r>
            <w:r>
              <w:rPr>
                <w:rFonts w:hint="eastAsia"/>
                <w:color w:val="auto"/>
                <w:sz w:val="22"/>
                <w:szCs w:val="22"/>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评审委员会的</w:t>
            </w:r>
          </w:p>
          <w:p>
            <w:pPr>
              <w:spacing w:line="300" w:lineRule="exact"/>
              <w:jc w:val="center"/>
              <w:rPr>
                <w:color w:val="auto"/>
                <w:sz w:val="22"/>
                <w:szCs w:val="22"/>
                <w:highlight w:val="none"/>
              </w:rPr>
            </w:pPr>
            <w:r>
              <w:rPr>
                <w:rFonts w:hint="eastAsia"/>
                <w:color w:val="auto"/>
                <w:sz w:val="22"/>
                <w:szCs w:val="22"/>
                <w:highlight w:val="none"/>
              </w:rPr>
              <w:t>组建</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评审委员会构成：采购人依法组建，成员为5人及以上单数，其中评审专家不得少于总人数的2/3；评标专家确定方式：按相关规定从专家库中抽取。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政府采购</w:t>
            </w:r>
          </w:p>
          <w:p>
            <w:pPr>
              <w:adjustRightInd w:val="0"/>
              <w:spacing w:line="300" w:lineRule="exact"/>
              <w:jc w:val="center"/>
              <w:rPr>
                <w:color w:val="auto"/>
                <w:sz w:val="22"/>
                <w:szCs w:val="22"/>
                <w:highlight w:val="none"/>
              </w:rPr>
            </w:pPr>
            <w:r>
              <w:rPr>
                <w:rFonts w:hint="eastAsia"/>
                <w:color w:val="auto"/>
                <w:sz w:val="22"/>
                <w:szCs w:val="22"/>
                <w:highlight w:val="none"/>
              </w:rPr>
              <w:t>扶持政策</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8"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供应商信用查询</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1、投标供应商信用信息查询的查询渠道：“信用中国”(</w:t>
            </w:r>
            <w:r>
              <w:rPr>
                <w:color w:val="auto"/>
                <w:sz w:val="22"/>
                <w:szCs w:val="22"/>
                <w:highlight w:val="none"/>
              </w:rPr>
              <w:fldChar w:fldCharType="begin"/>
            </w:r>
            <w:r>
              <w:rPr>
                <w:color w:val="auto"/>
                <w:sz w:val="22"/>
                <w:szCs w:val="22"/>
                <w:highlight w:val="none"/>
              </w:rPr>
              <w:instrText xml:space="preserve"> HYPERLINK "http://www.creditchina.gov.cn" </w:instrText>
            </w:r>
            <w:r>
              <w:rPr>
                <w:color w:val="auto"/>
                <w:sz w:val="22"/>
                <w:szCs w:val="22"/>
                <w:highlight w:val="none"/>
              </w:rPr>
              <w:fldChar w:fldCharType="separate"/>
            </w:r>
            <w:r>
              <w:rPr>
                <w:rFonts w:hint="eastAsia"/>
                <w:color w:val="auto"/>
                <w:sz w:val="22"/>
                <w:szCs w:val="22"/>
                <w:highlight w:val="none"/>
              </w:rPr>
              <w:t>www.creditchina.gov.cn</w:t>
            </w:r>
            <w:r>
              <w:rPr>
                <w:color w:val="auto"/>
                <w:sz w:val="22"/>
                <w:szCs w:val="22"/>
                <w:highlight w:val="none"/>
              </w:rPr>
              <w:fldChar w:fldCharType="end"/>
            </w:r>
            <w:r>
              <w:rPr>
                <w:rFonts w:hint="eastAsia"/>
                <w:color w:val="auto"/>
                <w:sz w:val="22"/>
                <w:szCs w:val="22"/>
                <w:highlight w:val="none"/>
              </w:rPr>
              <w:t>)；“中国政府采购网”（http://www.ccgp.gov.cn/）；</w:t>
            </w:r>
          </w:p>
          <w:p>
            <w:pPr>
              <w:spacing w:line="300" w:lineRule="exact"/>
              <w:rPr>
                <w:color w:val="auto"/>
                <w:sz w:val="22"/>
                <w:szCs w:val="22"/>
                <w:highlight w:val="none"/>
              </w:rPr>
            </w:pPr>
            <w:r>
              <w:rPr>
                <w:rFonts w:hint="eastAsia"/>
                <w:color w:val="auto"/>
                <w:sz w:val="22"/>
                <w:szCs w:val="22"/>
                <w:highlight w:val="none"/>
              </w:rPr>
              <w:t>2、投标供应商信用信息查询截止时点：采购公告至本项目投标截止时间前均可。</w:t>
            </w:r>
          </w:p>
          <w:p>
            <w:pPr>
              <w:spacing w:line="300" w:lineRule="exact"/>
              <w:rPr>
                <w:color w:val="auto"/>
                <w:sz w:val="22"/>
                <w:szCs w:val="22"/>
                <w:highlight w:val="none"/>
              </w:rPr>
            </w:pPr>
            <w:r>
              <w:rPr>
                <w:rFonts w:hint="eastAsia"/>
                <w:color w:val="auto"/>
                <w:sz w:val="22"/>
                <w:szCs w:val="22"/>
                <w:highlight w:val="none"/>
              </w:rPr>
              <w:t>3、投标供应商信用信息查询记录和证据留存的具体方式：网页截图打印；</w:t>
            </w:r>
          </w:p>
          <w:p>
            <w:pPr>
              <w:spacing w:line="300" w:lineRule="exact"/>
              <w:rPr>
                <w:color w:val="auto"/>
                <w:sz w:val="22"/>
                <w:szCs w:val="22"/>
                <w:highlight w:val="none"/>
              </w:rPr>
            </w:pPr>
            <w:r>
              <w:rPr>
                <w:rFonts w:hint="eastAsia"/>
                <w:color w:val="auto"/>
                <w:sz w:val="22"/>
                <w:szCs w:val="22"/>
                <w:highlight w:val="none"/>
              </w:rPr>
              <w:t>4、信用信息的使用规则：</w:t>
            </w:r>
            <w:r>
              <w:rPr>
                <w:color w:val="auto"/>
                <w:sz w:val="22"/>
                <w:szCs w:val="22"/>
                <w:highlight w:val="none"/>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合同备案</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1、中标供应商须在中标通知书发出之日起30日内与采购人签订合同。</w:t>
            </w:r>
          </w:p>
          <w:p>
            <w:pPr>
              <w:spacing w:line="300" w:lineRule="exact"/>
              <w:rPr>
                <w:color w:val="auto"/>
                <w:sz w:val="22"/>
                <w:szCs w:val="22"/>
                <w:highlight w:val="none"/>
              </w:rPr>
            </w:pPr>
            <w:r>
              <w:rPr>
                <w:rFonts w:hint="eastAsia"/>
                <w:color w:val="auto"/>
                <w:sz w:val="22"/>
                <w:szCs w:val="22"/>
                <w:highlight w:val="none"/>
              </w:rPr>
              <w:t>2、中标供应商与采购人签订合同后，2日历天内将合同扫描件电子版发给浙江名进建设项目管理有限公司：邮箱：</w:t>
            </w:r>
            <w:r>
              <w:rPr>
                <w:color w:val="auto"/>
                <w:sz w:val="22"/>
                <w:szCs w:val="22"/>
                <w:highlight w:val="none"/>
                <w:u w:val="single"/>
              </w:rPr>
              <w:fldChar w:fldCharType="begin"/>
            </w:r>
            <w:r>
              <w:rPr>
                <w:color w:val="auto"/>
                <w:sz w:val="22"/>
                <w:szCs w:val="22"/>
                <w:highlight w:val="none"/>
                <w:u w:val="single"/>
              </w:rPr>
              <w:instrText xml:space="preserve"> HYPERLINK "mailto: 309705385</w:instrText>
            </w:r>
            <w:r>
              <w:rPr>
                <w:rFonts w:hint="eastAsia"/>
                <w:color w:val="auto"/>
                <w:sz w:val="22"/>
                <w:szCs w:val="22"/>
                <w:highlight w:val="none"/>
                <w:u w:val="single"/>
              </w:rPr>
              <w:instrText xml:space="preserve">@qq.com</w:instrText>
            </w:r>
            <w:r>
              <w:rPr>
                <w:color w:val="auto"/>
                <w:sz w:val="22"/>
                <w:szCs w:val="22"/>
                <w:highlight w:val="none"/>
                <w:u w:val="single"/>
              </w:rPr>
              <w:instrText xml:space="preserve">" </w:instrText>
            </w:r>
            <w:r>
              <w:rPr>
                <w:color w:val="auto"/>
                <w:sz w:val="22"/>
                <w:szCs w:val="22"/>
                <w:highlight w:val="none"/>
                <w:u w:val="single"/>
              </w:rPr>
              <w:fldChar w:fldCharType="separate"/>
            </w:r>
            <w:r>
              <w:rPr>
                <w:rStyle w:val="24"/>
                <w:color w:val="auto"/>
                <w:sz w:val="22"/>
                <w:szCs w:val="22"/>
                <w:highlight w:val="none"/>
              </w:rPr>
              <w:t xml:space="preserve"> </w:t>
            </w:r>
            <w:r>
              <w:rPr>
                <w:rStyle w:val="24"/>
                <w:rFonts w:hint="eastAsia"/>
                <w:color w:val="auto"/>
                <w:sz w:val="22"/>
                <w:szCs w:val="22"/>
                <w:highlight w:val="none"/>
              </w:rPr>
              <w:t>490302676@qq.com</w:t>
            </w:r>
            <w:r>
              <w:rPr>
                <w:color w:val="auto"/>
                <w:sz w:val="22"/>
                <w:szCs w:val="22"/>
                <w:highlight w:val="none"/>
                <w:u w:val="single"/>
              </w:rPr>
              <w:fldChar w:fldCharType="end"/>
            </w:r>
            <w:r>
              <w:rPr>
                <w:rFonts w:hint="eastAsia"/>
                <w:color w:val="auto"/>
                <w:sz w:val="22"/>
                <w:szCs w:val="22"/>
                <w:highlight w:val="none"/>
              </w:rPr>
              <w:t>；</w:t>
            </w:r>
          </w:p>
          <w:p>
            <w:pPr>
              <w:spacing w:line="300" w:lineRule="exact"/>
              <w:rPr>
                <w:color w:val="auto"/>
                <w:sz w:val="22"/>
                <w:szCs w:val="22"/>
                <w:highlight w:val="none"/>
              </w:rPr>
            </w:pPr>
            <w:r>
              <w:rPr>
                <w:rFonts w:hint="eastAsia"/>
                <w:color w:val="auto"/>
                <w:sz w:val="22"/>
                <w:szCs w:val="22"/>
                <w:highlight w:val="none"/>
              </w:rPr>
              <w:t>3、本项目政府采购合同按规定在浙江政府采购网（</w:t>
            </w:r>
            <w:r>
              <w:rPr>
                <w:color w:val="auto"/>
                <w:sz w:val="22"/>
                <w:szCs w:val="22"/>
                <w:highlight w:val="none"/>
              </w:rPr>
              <w:fldChar w:fldCharType="begin"/>
            </w:r>
            <w:r>
              <w:rPr>
                <w:color w:val="auto"/>
                <w:sz w:val="22"/>
                <w:szCs w:val="22"/>
                <w:highlight w:val="none"/>
              </w:rPr>
              <w:instrText xml:space="preserve"> HYPERLINK "</w:instrText>
            </w:r>
            <w:r>
              <w:rPr>
                <w:rFonts w:hint="eastAsia"/>
                <w:color w:val="auto"/>
                <w:sz w:val="22"/>
                <w:szCs w:val="22"/>
                <w:highlight w:val="none"/>
              </w:rPr>
              <w:instrText xml:space="preserve">http://www.zjzfcg.gov.cn</w:instrText>
            </w:r>
            <w:r>
              <w:rPr>
                <w:color w:val="auto"/>
                <w:sz w:val="22"/>
                <w:szCs w:val="22"/>
                <w:highlight w:val="none"/>
              </w:rPr>
              <w:instrText xml:space="preserve">" </w:instrText>
            </w:r>
            <w:r>
              <w:rPr>
                <w:color w:val="auto"/>
                <w:sz w:val="22"/>
                <w:szCs w:val="22"/>
                <w:highlight w:val="none"/>
              </w:rPr>
              <w:fldChar w:fldCharType="separate"/>
            </w:r>
            <w:r>
              <w:rPr>
                <w:rFonts w:hint="eastAsia"/>
                <w:color w:val="auto"/>
                <w:sz w:val="22"/>
                <w:szCs w:val="22"/>
                <w:highlight w:val="none"/>
              </w:rPr>
              <w:t>http://www.zjzfcg.gov.cn</w:t>
            </w:r>
            <w:r>
              <w:rPr>
                <w:color w:val="auto"/>
                <w:sz w:val="22"/>
                <w:szCs w:val="22"/>
                <w:highlight w:val="none"/>
              </w:rPr>
              <w:fldChar w:fldCharType="end"/>
            </w:r>
            <w:r>
              <w:rPr>
                <w:rFonts w:hint="eastAsia"/>
                <w:color w:val="auto"/>
                <w:sz w:val="22"/>
                <w:szCs w:val="22"/>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合同履约管理</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免则声明</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pPr>
              <w:spacing w:line="300" w:lineRule="exact"/>
              <w:rPr>
                <w:color w:val="auto"/>
                <w:sz w:val="22"/>
                <w:szCs w:val="22"/>
                <w:highlight w:val="none"/>
              </w:rPr>
            </w:pPr>
            <w:r>
              <w:rPr>
                <w:rFonts w:hint="eastAsia"/>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解释权</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jc w:val="center"/>
              <w:rPr>
                <w:rFonts w:hint="eastAsia"/>
                <w:color w:val="auto"/>
                <w:sz w:val="22"/>
                <w:szCs w:val="22"/>
                <w:highlight w:val="none"/>
              </w:rPr>
            </w:pPr>
            <w:r>
              <w:rPr>
                <w:rFonts w:hint="eastAsia" w:ascii="宋体" w:hAnsi="宋体" w:eastAsia="宋体" w:cs="宋体"/>
                <w:b/>
                <w:bCs w:val="0"/>
                <w:color w:val="auto"/>
                <w:sz w:val="22"/>
                <w:szCs w:val="22"/>
                <w:highlight w:val="none"/>
              </w:rPr>
              <w:t>特别说明</w:t>
            </w:r>
          </w:p>
        </w:tc>
        <w:tc>
          <w:tcPr>
            <w:tcW w:w="7905" w:type="dxa"/>
            <w:noWrap w:val="0"/>
            <w:vAlign w:val="center"/>
          </w:tcPr>
          <w:p>
            <w:pPr>
              <w:snapToGrid w:val="0"/>
              <w:rPr>
                <w:rFonts w:hint="eastAsia"/>
                <w:color w:val="auto"/>
                <w:sz w:val="22"/>
                <w:szCs w:val="22"/>
                <w:highlight w:val="none"/>
              </w:rPr>
            </w:pPr>
            <w:r>
              <w:rPr>
                <w:rFonts w:hint="eastAsia" w:ascii="宋体" w:hAnsi="宋体" w:eastAsia="宋体" w:cs="宋体"/>
                <w:b/>
                <w:bCs w:val="0"/>
                <w:color w:val="auto"/>
                <w:sz w:val="22"/>
                <w:szCs w:val="22"/>
                <w:highlight w:val="none"/>
              </w:rPr>
              <w:t>▲中标供应商在合同签订前，采购人有权要求中标供应商提供其投标文件中的相关文件资料的原件进行审核；如无法提供原件或提供的原件与其投</w:t>
            </w:r>
            <w:r>
              <w:rPr>
                <w:rFonts w:hint="eastAsia" w:ascii="宋体" w:eastAsia="宋体" w:cs="宋体"/>
                <w:b/>
                <w:bCs w:val="0"/>
                <w:color w:val="auto"/>
                <w:sz w:val="22"/>
                <w:szCs w:val="22"/>
                <w:highlight w:val="none"/>
                <w:lang w:val="en-US" w:eastAsia="zh-CN"/>
              </w:rPr>
              <w:t xml:space="preserve"> </w:t>
            </w:r>
            <w:r>
              <w:rPr>
                <w:rFonts w:hint="eastAsia" w:ascii="宋体" w:hAnsi="宋体" w:eastAsia="宋体" w:cs="宋体"/>
                <w:b/>
                <w:bCs w:val="0"/>
                <w:color w:val="auto"/>
                <w:sz w:val="22"/>
                <w:szCs w:val="22"/>
                <w:highlight w:val="none"/>
              </w:rPr>
              <w:t>标文件中的不符，采购人有权取消其中标资格，并提交主管部门处理</w:t>
            </w:r>
            <w:r>
              <w:rPr>
                <w:rFonts w:hint="eastAsia" w:ascii="宋体" w:hAnsi="宋体" w:eastAsia="宋体" w:cs="宋体"/>
                <w:b/>
                <w:bCs w:val="0"/>
                <w:color w:val="auto"/>
                <w:sz w:val="22"/>
                <w:szCs w:val="22"/>
                <w:highlight w:val="none"/>
                <w:lang w:eastAsia="zh-CN"/>
              </w:rPr>
              <w:t>。</w:t>
            </w:r>
          </w:p>
        </w:tc>
      </w:tr>
    </w:tbl>
    <w:p>
      <w:pPr>
        <w:jc w:val="center"/>
        <w:rPr>
          <w:rFonts w:hint="eastAsia"/>
          <w:bCs/>
          <w:color w:val="auto"/>
          <w:highlight w:val="none"/>
        </w:rPr>
      </w:pPr>
      <w:r>
        <w:rPr>
          <w:rFonts w:hint="eastAsia"/>
          <w:bCs/>
          <w:color w:val="auto"/>
          <w:sz w:val="22"/>
          <w:szCs w:val="22"/>
          <w:highlight w:val="none"/>
        </w:rPr>
        <w:t xml:space="preserve">                                              </w:t>
      </w:r>
    </w:p>
    <w:p>
      <w:pPr>
        <w:rPr>
          <w:rFonts w:hint="eastAsia"/>
          <w:color w:val="auto"/>
          <w:highlight w:val="none"/>
        </w:rPr>
      </w:pPr>
    </w:p>
    <w:p>
      <w:pPr>
        <w:pStyle w:val="19"/>
        <w:rPr>
          <w:rFonts w:hint="eastAsia"/>
          <w:color w:val="auto"/>
          <w:highlight w:val="none"/>
        </w:rPr>
      </w:pPr>
    </w:p>
    <w:p>
      <w:pPr>
        <w:rPr>
          <w:rFonts w:hint="eastAsia"/>
          <w:color w:val="auto"/>
          <w:highlight w:val="none"/>
        </w:rPr>
      </w:pPr>
    </w:p>
    <w:p>
      <w:pPr>
        <w:pStyle w:val="19"/>
        <w:rPr>
          <w:rFonts w:hint="eastAsia"/>
          <w:color w:val="auto"/>
          <w:highlight w:val="none"/>
        </w:rPr>
      </w:pPr>
    </w:p>
    <w:p>
      <w:pPr>
        <w:rPr>
          <w:rFonts w:hint="eastAsia"/>
          <w:color w:val="auto"/>
          <w:highlight w:val="none"/>
        </w:rPr>
      </w:pPr>
    </w:p>
    <w:p>
      <w:pPr>
        <w:pStyle w:val="19"/>
        <w:rPr>
          <w:rFonts w:hint="eastAsia"/>
          <w:color w:val="auto"/>
          <w:highlight w:val="none"/>
        </w:rPr>
      </w:pPr>
    </w:p>
    <w:p>
      <w:pPr>
        <w:rPr>
          <w:rFonts w:hint="eastAsia"/>
          <w:color w:val="auto"/>
          <w:highlight w:val="none"/>
        </w:rPr>
      </w:pPr>
    </w:p>
    <w:p>
      <w:pPr>
        <w:pStyle w:val="19"/>
        <w:rPr>
          <w:rFonts w:hint="eastAsia"/>
          <w:color w:val="auto"/>
          <w:highlight w:val="none"/>
        </w:rPr>
      </w:pPr>
    </w:p>
    <w:p>
      <w:pPr>
        <w:rPr>
          <w:rFonts w:hint="eastAsia"/>
          <w:color w:val="auto"/>
          <w:highlight w:val="none"/>
        </w:rPr>
      </w:pPr>
    </w:p>
    <w:p>
      <w:pPr>
        <w:pStyle w:val="19"/>
        <w:rPr>
          <w:rFonts w:hint="eastAsia"/>
          <w:color w:val="auto"/>
          <w:highlight w:val="none"/>
        </w:rPr>
      </w:pPr>
    </w:p>
    <w:p>
      <w:pPr>
        <w:rPr>
          <w:rFonts w:hint="eastAsia"/>
          <w:color w:val="auto"/>
          <w:highlight w:val="none"/>
        </w:rPr>
      </w:pPr>
    </w:p>
    <w:p>
      <w:pPr>
        <w:pStyle w:val="19"/>
        <w:rPr>
          <w:rFonts w:hint="eastAsia"/>
          <w:color w:val="auto"/>
          <w:highlight w:val="none"/>
        </w:rPr>
      </w:pPr>
    </w:p>
    <w:p>
      <w:pPr>
        <w:rPr>
          <w:rFonts w:hint="eastAsia"/>
          <w:color w:val="auto"/>
          <w:highlight w:val="none"/>
        </w:rPr>
      </w:pPr>
    </w:p>
    <w:p>
      <w:pPr>
        <w:pStyle w:val="19"/>
        <w:rPr>
          <w:rFonts w:hint="eastAsia"/>
          <w:color w:val="auto"/>
          <w:highlight w:val="none"/>
        </w:rPr>
      </w:pPr>
    </w:p>
    <w:p>
      <w:pPr>
        <w:pStyle w:val="19"/>
        <w:jc w:val="both"/>
        <w:rPr>
          <w:rFonts w:hint="eastAsia"/>
          <w:color w:val="auto"/>
          <w:highlight w:val="none"/>
        </w:rPr>
      </w:pPr>
    </w:p>
    <w:p>
      <w:pPr>
        <w:rPr>
          <w:rFonts w:hint="eastAsia"/>
          <w:color w:val="auto"/>
          <w:highlight w:val="none"/>
        </w:rPr>
      </w:pPr>
    </w:p>
    <w:p>
      <w:pPr>
        <w:pStyle w:val="19"/>
        <w:rPr>
          <w:rFonts w:hint="eastAsia"/>
          <w:color w:val="auto"/>
          <w:highlight w:val="none"/>
        </w:rPr>
      </w:pPr>
    </w:p>
    <w:p>
      <w:pPr>
        <w:rPr>
          <w:rFonts w:hint="eastAsia"/>
          <w:color w:val="auto"/>
          <w:highlight w:val="none"/>
        </w:rPr>
      </w:pPr>
    </w:p>
    <w:p>
      <w:pPr>
        <w:pStyle w:val="19"/>
        <w:jc w:val="both"/>
        <w:rPr>
          <w:rFonts w:hint="eastAsia"/>
          <w:color w:val="auto"/>
          <w:highlight w:val="none"/>
        </w:rPr>
      </w:pPr>
    </w:p>
    <w:p>
      <w:pPr>
        <w:rPr>
          <w:rFonts w:hint="eastAsia"/>
          <w:color w:val="auto"/>
          <w:highlight w:val="none"/>
        </w:rPr>
      </w:pPr>
    </w:p>
    <w:p>
      <w:pPr>
        <w:pStyle w:val="2"/>
        <w:rPr>
          <w:rFonts w:hint="eastAsia"/>
          <w:color w:val="auto"/>
          <w:highlight w:val="none"/>
        </w:rPr>
      </w:pPr>
    </w:p>
    <w:p>
      <w:pPr>
        <w:autoSpaceDE w:val="0"/>
        <w:autoSpaceDN w:val="0"/>
        <w:spacing w:line="440" w:lineRule="atLeast"/>
        <w:jc w:val="center"/>
        <w:textAlignment w:val="bottom"/>
        <w:rPr>
          <w:rFonts w:hint="eastAsia"/>
          <w:color w:val="auto"/>
          <w:sz w:val="36"/>
          <w:highlight w:val="none"/>
        </w:rPr>
      </w:pPr>
      <w:r>
        <w:rPr>
          <w:rFonts w:hint="eastAsia"/>
          <w:color w:val="auto"/>
          <w:sz w:val="36"/>
          <w:highlight w:val="none"/>
        </w:rPr>
        <w:t>招标文件目录</w:t>
      </w:r>
    </w:p>
    <w:p>
      <w:pPr>
        <w:autoSpaceDE w:val="0"/>
        <w:autoSpaceDN w:val="0"/>
        <w:snapToGrid w:val="0"/>
        <w:spacing w:line="440" w:lineRule="atLeast"/>
        <w:textAlignment w:val="bottom"/>
        <w:rPr>
          <w:rFonts w:hint="eastAsia"/>
          <w:color w:val="auto"/>
          <w:sz w:val="28"/>
          <w:highlight w:val="none"/>
        </w:rPr>
      </w:pPr>
      <w:r>
        <w:rPr>
          <w:rFonts w:hint="eastAsia"/>
          <w:color w:val="auto"/>
          <w:sz w:val="28"/>
          <w:highlight w:val="none"/>
        </w:rPr>
        <w:t xml:space="preserve"> </w:t>
      </w:r>
    </w:p>
    <w:p>
      <w:pPr>
        <w:autoSpaceDE w:val="0"/>
        <w:autoSpaceDN w:val="0"/>
        <w:spacing w:line="440" w:lineRule="atLeast"/>
        <w:ind w:firstLine="323" w:firstLineChars="147"/>
        <w:textAlignment w:val="bottom"/>
        <w:rPr>
          <w:rFonts w:hint="eastAsia"/>
          <w:color w:val="auto"/>
          <w:sz w:val="36"/>
          <w:highlight w:val="none"/>
        </w:rPr>
      </w:pPr>
      <w:r>
        <w:rPr>
          <w:rFonts w:hint="eastAsia"/>
          <w:color w:val="auto"/>
          <w:sz w:val="22"/>
          <w:szCs w:val="22"/>
          <w:highlight w:val="none"/>
        </w:rPr>
        <w:t>第一部分、项目简介</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第二部分、招标内容及要求</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第三部分、供应商须知</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第四部分、政府采购政策功能相关说明</w:t>
      </w:r>
    </w:p>
    <w:p>
      <w:pPr>
        <w:autoSpaceDE w:val="0"/>
        <w:autoSpaceDN w:val="0"/>
        <w:snapToGrid w:val="0"/>
        <w:spacing w:line="440" w:lineRule="atLeast"/>
        <w:ind w:firstLine="330" w:firstLineChars="150"/>
        <w:textAlignment w:val="bottom"/>
        <w:rPr>
          <w:rFonts w:hint="eastAsia"/>
          <w:color w:val="auto"/>
          <w:sz w:val="22"/>
          <w:szCs w:val="22"/>
          <w:highlight w:val="none"/>
        </w:rPr>
      </w:pPr>
      <w:r>
        <w:rPr>
          <w:rFonts w:hint="eastAsia"/>
          <w:color w:val="auto"/>
          <w:sz w:val="22"/>
          <w:szCs w:val="22"/>
          <w:highlight w:val="none"/>
        </w:rPr>
        <w:t>第五部分、合同格式</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第六部分、附件：投标文件格式</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第七部分、评标办法</w:t>
      </w:r>
    </w:p>
    <w:p>
      <w:pPr>
        <w:autoSpaceDE w:val="0"/>
        <w:autoSpaceDN w:val="0"/>
        <w:snapToGrid w:val="0"/>
        <w:spacing w:line="440" w:lineRule="atLeast"/>
        <w:ind w:firstLine="431" w:firstLineChars="196"/>
        <w:textAlignment w:val="bottom"/>
        <w:rPr>
          <w:rFonts w:hint="eastAsia"/>
          <w:color w:val="auto"/>
          <w:sz w:val="22"/>
          <w:szCs w:val="22"/>
          <w:highlight w:val="none"/>
        </w:rPr>
      </w:pPr>
      <w:r>
        <w:rPr>
          <w:rFonts w:hint="eastAsia"/>
          <w:color w:val="auto"/>
          <w:sz w:val="22"/>
          <w:szCs w:val="22"/>
          <w:highlight w:val="none"/>
        </w:rPr>
        <w:t>附：质疑函范本</w:t>
      </w:r>
    </w:p>
    <w:p>
      <w:pPr>
        <w:pStyle w:val="19"/>
        <w:spacing w:before="0" w:after="0" w:line="420" w:lineRule="exact"/>
        <w:rPr>
          <w:rFonts w:hint="eastAsia"/>
          <w:color w:val="auto"/>
          <w:highlight w:val="none"/>
          <w:lang w:val="zh-CN"/>
        </w:rPr>
      </w:pPr>
    </w:p>
    <w:p>
      <w:pPr>
        <w:rPr>
          <w:rFonts w:hint="eastAsia"/>
          <w:color w:val="auto"/>
          <w:highlight w:val="none"/>
          <w:lang w:val="zh-CN"/>
        </w:rPr>
      </w:pPr>
    </w:p>
    <w:p>
      <w:pPr>
        <w:pStyle w:val="19"/>
        <w:rPr>
          <w:rFonts w:hint="eastAsia"/>
          <w:color w:val="auto"/>
          <w:highlight w:val="none"/>
          <w:lang w:val="zh-CN"/>
        </w:rPr>
      </w:pPr>
    </w:p>
    <w:p>
      <w:pPr>
        <w:rPr>
          <w:rFonts w:hint="eastAsia"/>
          <w:color w:val="auto"/>
          <w:highlight w:val="none"/>
          <w:lang w:val="zh-CN"/>
        </w:rPr>
      </w:pPr>
    </w:p>
    <w:p>
      <w:pPr>
        <w:pStyle w:val="19"/>
        <w:rPr>
          <w:rFonts w:hint="eastAsia"/>
          <w:color w:val="auto"/>
          <w:highlight w:val="none"/>
          <w:lang w:val="zh-CN"/>
        </w:rPr>
      </w:pPr>
    </w:p>
    <w:p>
      <w:pPr>
        <w:rPr>
          <w:rFonts w:hint="eastAsia"/>
          <w:color w:val="auto"/>
          <w:highlight w:val="none"/>
          <w:lang w:val="zh-CN"/>
        </w:rPr>
      </w:pPr>
    </w:p>
    <w:p>
      <w:pPr>
        <w:pStyle w:val="19"/>
        <w:rPr>
          <w:rFonts w:hint="eastAsia"/>
          <w:color w:val="auto"/>
          <w:highlight w:val="none"/>
          <w:lang w:val="zh-CN"/>
        </w:rPr>
      </w:pPr>
    </w:p>
    <w:p>
      <w:pPr>
        <w:rPr>
          <w:rFonts w:hint="eastAsia"/>
          <w:color w:val="auto"/>
          <w:highlight w:val="none"/>
          <w:lang w:val="zh-CN"/>
        </w:rPr>
      </w:pPr>
    </w:p>
    <w:p>
      <w:pPr>
        <w:pStyle w:val="19"/>
        <w:rPr>
          <w:rFonts w:hint="eastAsia"/>
          <w:color w:val="auto"/>
          <w:highlight w:val="none"/>
          <w:lang w:val="zh-CN"/>
        </w:rPr>
      </w:pPr>
    </w:p>
    <w:p>
      <w:pPr>
        <w:rPr>
          <w:rFonts w:hint="eastAsia"/>
          <w:color w:val="auto"/>
          <w:highlight w:val="none"/>
          <w:lang w:val="zh-CN"/>
        </w:rPr>
      </w:pPr>
    </w:p>
    <w:p>
      <w:pPr>
        <w:pStyle w:val="19"/>
        <w:rPr>
          <w:rFonts w:hint="eastAsia"/>
          <w:color w:val="auto"/>
          <w:highlight w:val="none"/>
          <w:lang w:val="zh-CN"/>
        </w:rPr>
      </w:pPr>
    </w:p>
    <w:p>
      <w:pPr>
        <w:rPr>
          <w:rFonts w:hint="eastAsia"/>
          <w:color w:val="auto"/>
          <w:highlight w:val="none"/>
          <w:lang w:val="zh-CN"/>
        </w:rPr>
      </w:pPr>
    </w:p>
    <w:p>
      <w:pPr>
        <w:pStyle w:val="19"/>
        <w:rPr>
          <w:rFonts w:hint="eastAsia"/>
          <w:color w:val="auto"/>
          <w:highlight w:val="none"/>
          <w:lang w:val="zh-CN"/>
        </w:rPr>
      </w:pPr>
    </w:p>
    <w:p>
      <w:pPr>
        <w:rPr>
          <w:rFonts w:hint="eastAsia"/>
          <w:color w:val="auto"/>
          <w:highlight w:val="none"/>
          <w:lang w:val="zh-CN"/>
        </w:rPr>
      </w:pPr>
    </w:p>
    <w:p>
      <w:pPr>
        <w:pStyle w:val="19"/>
        <w:rPr>
          <w:rFonts w:hint="eastAsia"/>
          <w:color w:val="auto"/>
          <w:highlight w:val="none"/>
          <w:lang w:val="zh-CN"/>
        </w:rPr>
      </w:pPr>
    </w:p>
    <w:p>
      <w:pPr>
        <w:rPr>
          <w:rFonts w:hint="eastAsia"/>
          <w:color w:val="auto"/>
          <w:highlight w:val="none"/>
          <w:lang w:val="zh-CN"/>
        </w:rPr>
      </w:pPr>
    </w:p>
    <w:p>
      <w:pPr>
        <w:pStyle w:val="19"/>
        <w:rPr>
          <w:rFonts w:hint="eastAsia"/>
          <w:color w:val="auto"/>
          <w:highlight w:val="none"/>
          <w:lang w:val="zh-CN"/>
        </w:rPr>
      </w:pPr>
    </w:p>
    <w:p>
      <w:pPr>
        <w:rPr>
          <w:rFonts w:hint="eastAsia"/>
          <w:color w:val="auto"/>
          <w:highlight w:val="none"/>
          <w:lang w:val="zh-CN"/>
        </w:rPr>
      </w:pPr>
    </w:p>
    <w:p>
      <w:pPr>
        <w:autoSpaceDE w:val="0"/>
        <w:autoSpaceDN w:val="0"/>
        <w:adjustRightInd w:val="0"/>
        <w:snapToGrid w:val="0"/>
        <w:spacing w:line="460" w:lineRule="exact"/>
        <w:jc w:val="center"/>
        <w:textAlignment w:val="bottom"/>
        <w:rPr>
          <w:rFonts w:hint="eastAsia"/>
          <w:b/>
          <w:color w:val="auto"/>
          <w:sz w:val="36"/>
          <w:highlight w:val="none"/>
        </w:rPr>
      </w:pPr>
      <w:r>
        <w:rPr>
          <w:rFonts w:hint="eastAsia"/>
          <w:b/>
          <w:color w:val="auto"/>
          <w:sz w:val="36"/>
          <w:highlight w:val="none"/>
        </w:rPr>
        <w:t>第一部分     项目简介</w:t>
      </w:r>
    </w:p>
    <w:p>
      <w:pPr>
        <w:pStyle w:val="17"/>
        <w:adjustRightInd w:val="0"/>
        <w:snapToGrid w:val="0"/>
        <w:spacing w:line="460" w:lineRule="exact"/>
        <w:ind w:firstLine="0" w:firstLineChars="0"/>
        <w:outlineLvl w:val="0"/>
        <w:rPr>
          <w:rFonts w:hint="eastAsia" w:ascii="宋体" w:hAnsi="宋体" w:eastAsia="宋体"/>
          <w:b/>
          <w:color w:val="auto"/>
          <w:sz w:val="22"/>
          <w:szCs w:val="22"/>
          <w:highlight w:val="none"/>
        </w:rPr>
      </w:pPr>
      <w:bookmarkStart w:id="0" w:name="_Toc444066171"/>
      <w:r>
        <w:rPr>
          <w:rFonts w:hint="eastAsia" w:ascii="宋体" w:hAnsi="宋体" w:eastAsia="宋体"/>
          <w:b/>
          <w:color w:val="auto"/>
          <w:sz w:val="22"/>
          <w:szCs w:val="22"/>
          <w:highlight w:val="none"/>
        </w:rPr>
        <w:t>一、项目简介</w:t>
      </w:r>
    </w:p>
    <w:p>
      <w:pPr>
        <w:snapToGrid w:val="0"/>
        <w:spacing w:line="460" w:lineRule="exact"/>
        <w:ind w:firstLine="541" w:firstLineChars="246"/>
        <w:rPr>
          <w:rFonts w:hint="eastAsia"/>
          <w:bCs/>
          <w:color w:val="auto"/>
          <w:sz w:val="22"/>
          <w:szCs w:val="22"/>
          <w:highlight w:val="none"/>
        </w:rPr>
      </w:pPr>
      <w:r>
        <w:rPr>
          <w:rFonts w:hint="eastAsia"/>
          <w:color w:val="auto"/>
          <w:sz w:val="22"/>
          <w:szCs w:val="22"/>
          <w:highlight w:val="none"/>
        </w:rPr>
        <w:t>浙江名进建设项目管理有限公司受平阳县人民医院委托，</w:t>
      </w:r>
      <w:r>
        <w:rPr>
          <w:color w:val="auto"/>
          <w:sz w:val="22"/>
          <w:szCs w:val="22"/>
          <w:highlight w:val="none"/>
        </w:rPr>
        <w:t>以公开招标方式采购</w:t>
      </w:r>
      <w:r>
        <w:rPr>
          <w:rFonts w:hint="eastAsia"/>
          <w:color w:val="auto"/>
          <w:sz w:val="22"/>
          <w:szCs w:val="22"/>
          <w:highlight w:val="none"/>
          <w:lang w:eastAsia="zh-CN"/>
        </w:rPr>
        <w:t>平阳县人民医院后勤综合管控系统项目</w:t>
      </w:r>
      <w:r>
        <w:rPr>
          <w:rFonts w:hint="eastAsia"/>
          <w:color w:val="auto"/>
          <w:sz w:val="22"/>
          <w:szCs w:val="22"/>
          <w:highlight w:val="none"/>
        </w:rPr>
        <w:t>，本次招标资金已经落实。</w:t>
      </w:r>
    </w:p>
    <w:p>
      <w:pPr>
        <w:autoSpaceDE w:val="0"/>
        <w:autoSpaceDN w:val="0"/>
        <w:adjustRightInd w:val="0"/>
        <w:snapToGrid w:val="0"/>
        <w:spacing w:line="460" w:lineRule="exact"/>
        <w:ind w:firstLine="545" w:firstLineChars="248"/>
        <w:textAlignment w:val="bottom"/>
        <w:rPr>
          <w:rFonts w:hint="eastAsia"/>
          <w:color w:val="auto"/>
          <w:sz w:val="22"/>
          <w:szCs w:val="22"/>
          <w:highlight w:val="none"/>
        </w:rPr>
      </w:pPr>
      <w:r>
        <w:rPr>
          <w:rFonts w:hint="eastAsia"/>
          <w:color w:val="auto"/>
          <w:sz w:val="22"/>
          <w:szCs w:val="22"/>
          <w:highlight w:val="none"/>
        </w:rPr>
        <w:t>我们热情欢迎有关公司（企业）前来进行投标。</w:t>
      </w:r>
    </w:p>
    <w:p>
      <w:pPr>
        <w:autoSpaceDE w:val="0"/>
        <w:autoSpaceDN w:val="0"/>
        <w:adjustRightInd w:val="0"/>
        <w:snapToGrid w:val="0"/>
        <w:spacing w:line="460" w:lineRule="exact"/>
        <w:jc w:val="center"/>
        <w:textAlignment w:val="bottom"/>
        <w:rPr>
          <w:rFonts w:hint="eastAsia"/>
          <w:b/>
          <w:color w:val="auto"/>
          <w:sz w:val="36"/>
          <w:highlight w:val="none"/>
        </w:rPr>
      </w:pPr>
      <w:r>
        <w:rPr>
          <w:rFonts w:hint="eastAsia"/>
          <w:b/>
          <w:color w:val="auto"/>
          <w:sz w:val="36"/>
          <w:highlight w:val="none"/>
        </w:rPr>
        <w:t>第二部分     招标内容及技术要求</w:t>
      </w:r>
      <w:bookmarkStart w:id="1" w:name="_Toc142902564"/>
    </w:p>
    <w:bookmarkEnd w:id="1"/>
    <w:p>
      <w:pPr>
        <w:autoSpaceDE w:val="0"/>
        <w:autoSpaceDN w:val="0"/>
        <w:adjustRightInd w:val="0"/>
        <w:snapToGrid w:val="0"/>
        <w:spacing w:line="460" w:lineRule="exact"/>
        <w:outlineLvl w:val="0"/>
        <w:rPr>
          <w:rFonts w:hint="eastAsia"/>
          <w:b/>
          <w:color w:val="auto"/>
          <w:sz w:val="22"/>
          <w:szCs w:val="22"/>
          <w:highlight w:val="none"/>
        </w:rPr>
      </w:pPr>
      <w:r>
        <w:rPr>
          <w:rFonts w:hint="eastAsia"/>
          <w:b/>
          <w:color w:val="auto"/>
          <w:sz w:val="22"/>
          <w:szCs w:val="22"/>
          <w:highlight w:val="none"/>
        </w:rPr>
        <w:t>一、总则</w:t>
      </w:r>
    </w:p>
    <w:p>
      <w:pPr>
        <w:snapToGrid w:val="0"/>
        <w:spacing w:line="460" w:lineRule="exact"/>
        <w:ind w:firstLine="541" w:firstLineChars="246"/>
        <w:rPr>
          <w:rFonts w:hint="eastAsia"/>
          <w:color w:val="auto"/>
          <w:sz w:val="22"/>
          <w:szCs w:val="22"/>
          <w:highlight w:val="none"/>
        </w:rPr>
      </w:pPr>
      <w:r>
        <w:rPr>
          <w:rFonts w:hint="eastAsia"/>
          <w:color w:val="auto"/>
          <w:sz w:val="22"/>
          <w:szCs w:val="22"/>
          <w:highlight w:val="none"/>
        </w:rPr>
        <w:t>平阳县人民医院创建于1938年，是一所集医疗、教学、科研、预防和保健为一体的三级乙等综合性医院。系温州医科大学附属平阳医院、浙江省高等医学院校合格教学医院、温州医科大学教学医院、省级绿色医院、省级平安医院、省级爱婴医院、台湾奇美医院合作医院、浙江大学医学院附属第一、二医院协作医院、中国人民解放军海军总医院合作医院、浙江省眼视光专科联盟成员单位及温州医科大学附属眼视光医院医疗联合体成员单位，承担着鳌江流域200多万人口的医疗保健任务。</w:t>
      </w:r>
    </w:p>
    <w:p>
      <w:pPr>
        <w:snapToGrid w:val="0"/>
        <w:spacing w:line="460" w:lineRule="exact"/>
        <w:ind w:firstLine="541" w:firstLineChars="246"/>
        <w:rPr>
          <w:rFonts w:hint="eastAsia"/>
          <w:color w:val="auto"/>
          <w:sz w:val="22"/>
          <w:szCs w:val="22"/>
          <w:highlight w:val="none"/>
        </w:rPr>
      </w:pPr>
      <w:r>
        <w:rPr>
          <w:rFonts w:hint="eastAsia"/>
          <w:color w:val="auto"/>
          <w:sz w:val="22"/>
          <w:szCs w:val="22"/>
          <w:highlight w:val="none"/>
        </w:rPr>
        <w:t>医院占地面积约150亩，建筑面积11.9万平方米，床位1000张，全院职工1349人（含合同制），其中卫技人员1147人，高级职称200人，中级职称319人，硕士44人，在读博士1人。设有32个临床专业学科，22个病区，8个医技科室，63个门诊诊室，18个职能科室。</w:t>
      </w:r>
    </w:p>
    <w:bookmarkEnd w:id="0"/>
    <w:p>
      <w:pPr>
        <w:numPr>
          <w:ilvl w:val="0"/>
          <w:numId w:val="3"/>
        </w:numPr>
        <w:spacing w:before="120" w:beforeLines="50" w:line="400" w:lineRule="exact"/>
        <w:rPr>
          <w:rFonts w:hint="eastAsia"/>
          <w:b/>
          <w:color w:val="auto"/>
          <w:sz w:val="22"/>
          <w:szCs w:val="22"/>
          <w:highlight w:val="none"/>
        </w:rPr>
      </w:pPr>
      <w:r>
        <w:rPr>
          <w:rFonts w:hint="eastAsia"/>
          <w:b/>
          <w:color w:val="auto"/>
          <w:sz w:val="22"/>
          <w:szCs w:val="22"/>
          <w:highlight w:val="none"/>
        </w:rPr>
        <w:t>招标项目、内容、要求及供货期限：</w:t>
      </w:r>
    </w:p>
    <w:p>
      <w:pPr>
        <w:pStyle w:val="10"/>
        <w:adjustRightInd w:val="0"/>
        <w:snapToGrid w:val="0"/>
        <w:spacing w:line="400" w:lineRule="exact"/>
        <w:ind w:firstLine="482"/>
        <w:rPr>
          <w:rFonts w:hAnsi="宋体" w:eastAsia="宋体"/>
          <w:b w:val="0"/>
          <w:color w:val="auto"/>
          <w:sz w:val="22"/>
          <w:highlight w:val="none"/>
        </w:rPr>
      </w:pPr>
      <w:r>
        <w:rPr>
          <w:rFonts w:hint="eastAsia" w:hAnsi="宋体" w:eastAsia="宋体"/>
          <w:b w:val="0"/>
          <w:color w:val="auto"/>
          <w:sz w:val="22"/>
          <w:highlight w:val="none"/>
        </w:rPr>
        <w:t>1.1本技术规范要求提出的是最低限度的基本技术要求，并未对所有技术细节作出规定，供应商应提供符合本技术要求和国家标准、行业标准的优质产品。</w:t>
      </w:r>
    </w:p>
    <w:p>
      <w:pPr>
        <w:pStyle w:val="10"/>
        <w:adjustRightInd w:val="0"/>
        <w:snapToGrid w:val="0"/>
        <w:spacing w:line="400" w:lineRule="exact"/>
        <w:ind w:firstLine="482"/>
        <w:rPr>
          <w:rFonts w:hAnsi="宋体" w:eastAsia="宋体"/>
          <w:b w:val="0"/>
          <w:color w:val="auto"/>
          <w:sz w:val="22"/>
          <w:highlight w:val="none"/>
        </w:rPr>
      </w:pPr>
      <w:r>
        <w:rPr>
          <w:rFonts w:hint="eastAsia" w:hAnsi="宋体" w:eastAsia="宋体"/>
          <w:b w:val="0"/>
          <w:color w:val="auto"/>
          <w:sz w:val="22"/>
          <w:highlight w:val="none"/>
        </w:rPr>
        <w:t>1.2供应商产品与本技术要求不一致时，供应商应在报价文件中予以说明，并由询价采购小组鉴定供应商产品能否达到要求。如供应商没有在报价文件中提出异议，则视为供应商提供的产品完全按照本采购文件要求。</w:t>
      </w:r>
    </w:p>
    <w:p>
      <w:pPr>
        <w:pStyle w:val="10"/>
        <w:adjustRightInd w:val="0"/>
        <w:snapToGrid w:val="0"/>
        <w:spacing w:line="400" w:lineRule="exact"/>
        <w:ind w:firstLine="482"/>
        <w:rPr>
          <w:rFonts w:hAnsi="宋体" w:eastAsia="宋体"/>
          <w:b w:val="0"/>
          <w:color w:val="auto"/>
          <w:sz w:val="22"/>
          <w:highlight w:val="none"/>
        </w:rPr>
      </w:pPr>
      <w:r>
        <w:rPr>
          <w:rFonts w:hint="eastAsia" w:hAnsi="宋体" w:eastAsia="宋体"/>
          <w:b w:val="0"/>
          <w:color w:val="auto"/>
          <w:sz w:val="22"/>
          <w:highlight w:val="none"/>
        </w:rPr>
        <w:t>2、技术要求及标准的执行</w:t>
      </w:r>
    </w:p>
    <w:p>
      <w:pPr>
        <w:pStyle w:val="10"/>
        <w:adjustRightInd w:val="0"/>
        <w:snapToGrid w:val="0"/>
        <w:spacing w:line="400" w:lineRule="exact"/>
        <w:ind w:firstLine="482"/>
        <w:rPr>
          <w:rFonts w:hint="eastAsia"/>
          <w:color w:val="auto"/>
          <w:highlight w:val="none"/>
        </w:rPr>
      </w:pPr>
      <w:r>
        <w:rPr>
          <w:rFonts w:hint="eastAsia" w:hAnsi="宋体" w:eastAsia="宋体"/>
          <w:b w:val="0"/>
          <w:color w:val="auto"/>
          <w:sz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pPr>
        <w:pStyle w:val="10"/>
        <w:numPr>
          <w:ilvl w:val="0"/>
          <w:numId w:val="0"/>
        </w:numPr>
        <w:adjustRightInd w:val="0"/>
        <w:snapToGrid w:val="0"/>
        <w:spacing w:line="400" w:lineRule="exact"/>
        <w:ind w:left="110" w:leftChars="0" w:firstLine="442" w:firstLineChars="200"/>
        <w:rPr>
          <w:rFonts w:hint="eastAsia" w:eastAsia="宋体"/>
          <w:b/>
          <w:color w:val="auto"/>
          <w:sz w:val="22"/>
          <w:szCs w:val="22"/>
          <w:highlight w:val="none"/>
          <w:lang w:val="en-US" w:eastAsia="zh-CN"/>
        </w:rPr>
      </w:pPr>
      <w:r>
        <w:rPr>
          <w:rFonts w:hint="eastAsia"/>
          <w:b/>
          <w:color w:val="auto"/>
          <w:sz w:val="22"/>
          <w:szCs w:val="22"/>
          <w:highlight w:val="none"/>
          <w:lang w:val="en-US" w:eastAsia="zh-CN"/>
        </w:rPr>
        <w:t>3、</w:t>
      </w:r>
      <w:r>
        <w:rPr>
          <w:rFonts w:hint="eastAsia"/>
          <w:b/>
          <w:color w:val="auto"/>
          <w:sz w:val="22"/>
          <w:szCs w:val="22"/>
          <w:highlight w:val="none"/>
        </w:rPr>
        <w:t>采购清单</w:t>
      </w:r>
      <w:r>
        <w:rPr>
          <w:rFonts w:hint="eastAsia"/>
          <w:b/>
          <w:color w:val="auto"/>
          <w:sz w:val="22"/>
          <w:szCs w:val="22"/>
          <w:highlight w:val="none"/>
          <w:lang w:val="en-US" w:eastAsia="zh-CN"/>
        </w:rPr>
        <w:t>及参数要求</w:t>
      </w:r>
    </w:p>
    <w:p>
      <w:pPr>
        <w:pStyle w:val="10"/>
        <w:numPr>
          <w:ilvl w:val="0"/>
          <w:numId w:val="0"/>
        </w:numPr>
        <w:adjustRightInd w:val="0"/>
        <w:snapToGrid w:val="0"/>
        <w:spacing w:line="400" w:lineRule="exact"/>
        <w:rPr>
          <w:b/>
          <w:bCs/>
          <w:color w:val="auto"/>
          <w:sz w:val="22"/>
          <w:szCs w:val="22"/>
          <w:highlight w:val="none"/>
        </w:rPr>
      </w:pPr>
      <w:r>
        <w:rPr>
          <w:rFonts w:hint="eastAsia" w:hAnsi="宋体"/>
          <w:b/>
          <w:bCs/>
          <w:color w:val="auto"/>
          <w:sz w:val="22"/>
          <w:szCs w:val="22"/>
          <w:highlight w:val="none"/>
        </w:rPr>
        <w:t>（以下所有参数</w:t>
      </w:r>
      <w:r>
        <w:rPr>
          <w:rFonts w:hint="eastAsia" w:hAnsi="宋体"/>
          <w:b/>
          <w:bCs/>
          <w:color w:val="auto"/>
          <w:sz w:val="22"/>
          <w:szCs w:val="22"/>
          <w:highlight w:val="none"/>
          <w:lang w:val="en-US" w:eastAsia="zh-CN"/>
        </w:rPr>
        <w:t>及品牌</w:t>
      </w:r>
      <w:r>
        <w:rPr>
          <w:rFonts w:hint="eastAsia" w:hAnsi="宋体"/>
          <w:b/>
          <w:bCs/>
          <w:color w:val="auto"/>
          <w:sz w:val="22"/>
          <w:szCs w:val="22"/>
          <w:highlight w:val="none"/>
        </w:rPr>
        <w:t>是为了对拟报价的货物的技术指标和功能要求更好的说明，欢迎其他能满足本项目技术需求且性能更优的产品参加。产品性能是否更优由评审小组按少数服从多数原则认定。）</w:t>
      </w:r>
    </w:p>
    <w:p>
      <w:pPr>
        <w:spacing w:line="400" w:lineRule="exact"/>
        <w:rPr>
          <w:rFonts w:hint="eastAsia" w:ascii="宋体" w:hAnsi="宋体" w:cs="宋体"/>
          <w:b/>
          <w:color w:val="auto"/>
          <w:sz w:val="22"/>
          <w:szCs w:val="22"/>
          <w:highlight w:val="none"/>
        </w:rPr>
      </w:pPr>
      <w:r>
        <w:rPr>
          <w:rFonts w:hint="eastAsia" w:cs="宋体"/>
          <w:b/>
          <w:color w:val="auto"/>
          <w:sz w:val="22"/>
          <w:szCs w:val="22"/>
          <w:highlight w:val="none"/>
          <w:lang w:eastAsia="zh-CN"/>
        </w:rPr>
        <w:t>（</w:t>
      </w:r>
      <w:r>
        <w:rPr>
          <w:rFonts w:hint="eastAsia" w:cs="宋体"/>
          <w:b/>
          <w:color w:val="auto"/>
          <w:sz w:val="22"/>
          <w:szCs w:val="22"/>
          <w:highlight w:val="none"/>
          <w:lang w:val="en-US" w:eastAsia="zh-CN"/>
        </w:rPr>
        <w:t>1）</w:t>
      </w:r>
      <w:r>
        <w:rPr>
          <w:rFonts w:hint="eastAsia" w:ascii="宋体" w:hAnsi="宋体" w:cs="宋体"/>
          <w:b/>
          <w:color w:val="auto"/>
          <w:sz w:val="22"/>
          <w:szCs w:val="22"/>
          <w:highlight w:val="none"/>
        </w:rPr>
        <w:t>软件功能设计</w:t>
      </w:r>
    </w:p>
    <w:p>
      <w:pPr>
        <w:pStyle w:val="10"/>
        <w:adjustRightInd w:val="0"/>
        <w:snapToGrid w:val="0"/>
        <w:spacing w:line="360" w:lineRule="auto"/>
        <w:ind w:firstLine="482"/>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建立总务后勤设备用能（水电、空调）远程监控、安全管理、运营维修维护管理的一站式管理体系，通过搭建总务后勤安全运行管理平台整体框架；围绕能源管理、设备管理、运维管理，实现关键模块的后勤管理信息化；整合医院现有供配电、暖通空调、机电设备等，建设设备安全监控网络，实现设备安全保障；利用互联网技术使得管理信息化、标准化。软件需要永久授权。</w:t>
      </w:r>
    </w:p>
    <w:p>
      <w:pPr>
        <w:numPr>
          <w:ilvl w:val="0"/>
          <w:numId w:val="4"/>
        </w:numPr>
        <w:spacing w:line="360" w:lineRule="auto"/>
        <w:ind w:left="0" w:leftChars="0" w:firstLine="40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能源综合</w:t>
      </w:r>
      <w:r>
        <w:rPr>
          <w:rFonts w:hint="eastAsia" w:ascii="宋体" w:hAnsi="宋体" w:eastAsia="宋体" w:cs="宋体"/>
          <w:b w:val="0"/>
          <w:bCs w:val="0"/>
          <w:color w:val="auto"/>
          <w:sz w:val="22"/>
          <w:szCs w:val="22"/>
          <w:highlight w:val="none"/>
        </w:rPr>
        <w:t>管控平台界面</w:t>
      </w:r>
      <w:r>
        <w:rPr>
          <w:rFonts w:hint="eastAsia" w:ascii="宋体" w:hAnsi="宋体" w:eastAsia="宋体" w:cs="宋体"/>
          <w:b w:val="0"/>
          <w:bCs w:val="0"/>
          <w:color w:val="auto"/>
          <w:sz w:val="22"/>
          <w:szCs w:val="22"/>
          <w:highlight w:val="none"/>
          <w:lang w:val="en-US" w:eastAsia="zh-CN"/>
        </w:rPr>
        <w:t>及主要</w:t>
      </w:r>
      <w:r>
        <w:rPr>
          <w:rFonts w:hint="eastAsia" w:ascii="宋体" w:hAnsi="宋体" w:eastAsia="宋体" w:cs="宋体"/>
          <w:b w:val="0"/>
          <w:bCs w:val="0"/>
          <w:color w:val="auto"/>
          <w:sz w:val="22"/>
          <w:szCs w:val="22"/>
          <w:highlight w:val="none"/>
        </w:rPr>
        <w:t>功能</w:t>
      </w:r>
      <w:r>
        <w:rPr>
          <w:rFonts w:hint="eastAsia" w:eastAsia="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rPr>
        <w:t>包括但不限于以下内容</w:t>
      </w:r>
      <w:r>
        <w:rPr>
          <w:rFonts w:hint="eastAsia" w:eastAsia="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rPr>
        <w:t>：</w:t>
      </w:r>
    </w:p>
    <w:tbl>
      <w:tblPr>
        <w:tblStyle w:val="21"/>
        <w:tblW w:w="9213" w:type="dxa"/>
        <w:tblInd w:w="91" w:type="dxa"/>
        <w:tblLayout w:type="fixed"/>
        <w:tblCellMar>
          <w:top w:w="0" w:type="dxa"/>
          <w:left w:w="108" w:type="dxa"/>
          <w:bottom w:w="0" w:type="dxa"/>
          <w:right w:w="108" w:type="dxa"/>
        </w:tblCellMar>
      </w:tblPr>
      <w:tblGrid>
        <w:gridCol w:w="1153"/>
        <w:gridCol w:w="1112"/>
        <w:gridCol w:w="925"/>
        <w:gridCol w:w="6023"/>
      </w:tblGrid>
      <w:tr>
        <w:tblPrEx>
          <w:tblCellMar>
            <w:top w:w="0" w:type="dxa"/>
            <w:left w:w="108" w:type="dxa"/>
            <w:bottom w:w="0" w:type="dxa"/>
            <w:right w:w="108" w:type="dxa"/>
          </w:tblCellMar>
        </w:tblPrEx>
        <w:trPr>
          <w:trHeight w:val="416" w:hRule="atLeast"/>
        </w:trPr>
        <w:tc>
          <w:tcPr>
            <w:tcW w:w="115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软件名称</w:t>
            </w:r>
          </w:p>
        </w:tc>
        <w:tc>
          <w:tcPr>
            <w:tcW w:w="1112" w:type="dxa"/>
            <w:tcBorders>
              <w:top w:val="single" w:color="auto" w:sz="4" w:space="0"/>
              <w:left w:val="nil"/>
              <w:bottom w:val="single" w:color="auto" w:sz="4" w:space="0"/>
              <w:right w:val="single" w:color="auto" w:sz="4" w:space="0"/>
            </w:tcBorders>
            <w:shd w:val="clear" w:color="000000" w:fill="FFFFFF"/>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功能模块</w:t>
            </w:r>
          </w:p>
        </w:tc>
        <w:tc>
          <w:tcPr>
            <w:tcW w:w="925" w:type="dxa"/>
            <w:tcBorders>
              <w:top w:val="single" w:color="auto" w:sz="4" w:space="0"/>
              <w:left w:val="nil"/>
              <w:bottom w:val="single" w:color="auto" w:sz="4" w:space="0"/>
              <w:right w:val="single" w:color="auto" w:sz="4" w:space="0"/>
            </w:tcBorders>
            <w:shd w:val="clear" w:color="000000" w:fill="FFFFFF"/>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工程量</w:t>
            </w:r>
          </w:p>
        </w:tc>
        <w:tc>
          <w:tcPr>
            <w:tcW w:w="6023" w:type="dxa"/>
            <w:tcBorders>
              <w:top w:val="single" w:color="auto" w:sz="4" w:space="0"/>
              <w:left w:val="nil"/>
              <w:bottom w:val="single" w:color="auto" w:sz="4" w:space="0"/>
              <w:right w:val="single" w:color="auto" w:sz="4" w:space="0"/>
            </w:tcBorders>
            <w:shd w:val="clear" w:color="000000" w:fill="FFFFFF"/>
            <w:noWrap w:val="0"/>
            <w:vAlign w:val="center"/>
          </w:tcPr>
          <w:p>
            <w:pPr>
              <w:spacing w:line="240" w:lineRule="auto"/>
              <w:ind w:firstLine="1540" w:firstLineChars="700"/>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规格参数</w:t>
            </w:r>
          </w:p>
        </w:tc>
      </w:tr>
      <w:tr>
        <w:tblPrEx>
          <w:tblCellMar>
            <w:top w:w="0" w:type="dxa"/>
            <w:left w:w="108" w:type="dxa"/>
            <w:bottom w:w="0" w:type="dxa"/>
            <w:right w:w="108" w:type="dxa"/>
          </w:tblCellMar>
        </w:tblPrEx>
        <w:trPr>
          <w:trHeight w:val="404" w:hRule="atLeast"/>
        </w:trPr>
        <w:tc>
          <w:tcPr>
            <w:tcW w:w="9213" w:type="dxa"/>
            <w:gridSpan w:val="4"/>
            <w:tcBorders>
              <w:top w:val="nil"/>
              <w:left w:val="single" w:color="auto" w:sz="4" w:space="0"/>
              <w:bottom w:val="single" w:color="auto" w:sz="4" w:space="0"/>
              <w:right w:val="single" w:color="auto" w:sz="4" w:space="0"/>
            </w:tcBorders>
            <w:noWrap/>
            <w:vAlign w:val="center"/>
          </w:tcPr>
          <w:p>
            <w:pPr>
              <w:spacing w:line="240" w:lineRule="auto"/>
              <w:ind w:firstLine="3080" w:firstLineChars="140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后勤综合能源管控平台软件</w:t>
            </w:r>
          </w:p>
        </w:tc>
      </w:tr>
      <w:tr>
        <w:tblPrEx>
          <w:tblCellMar>
            <w:top w:w="0" w:type="dxa"/>
            <w:left w:w="108" w:type="dxa"/>
            <w:bottom w:w="0" w:type="dxa"/>
            <w:right w:w="108" w:type="dxa"/>
          </w:tblCellMar>
        </w:tblPrEx>
        <w:trPr>
          <w:trHeight w:val="1358" w:hRule="atLeast"/>
        </w:trPr>
        <w:tc>
          <w:tcPr>
            <w:tcW w:w="1153" w:type="dxa"/>
            <w:vMerge w:val="restar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综合能源管控平台系统</w:t>
            </w: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能源总览(驾驶舱)</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1、全面展示医院能源资源消耗情况；</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2、提供动态浏览；</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3、实时能耗、表计故障、机构基本信息统计、能耗分类、能耗费用、电耗分项、能耗统计、KPI指标、能耗排名及温湿度信息数据。</w:t>
            </w:r>
          </w:p>
        </w:tc>
      </w:tr>
      <w:tr>
        <w:tblPrEx>
          <w:tblCellMar>
            <w:top w:w="0" w:type="dxa"/>
            <w:left w:w="108" w:type="dxa"/>
            <w:bottom w:w="0" w:type="dxa"/>
            <w:right w:w="108" w:type="dxa"/>
          </w:tblCellMar>
        </w:tblPrEx>
        <w:trPr>
          <w:trHeight w:val="90"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能耗数据统计查询</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按不同的能耗类型，选择不同区域位置、用能单位、支路按不同的时间段设置进行数据统计查询，并以数据表格、折线图、柱形图等形势直观展示。</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能耗数据分析</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1、能耗查询；</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2、能耗指标；</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3、横向对比；</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4、同比环比；</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5、能耗查询（能耗分项、关联分析、昼夜分析）</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用能管理</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1、能耗排名；</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2、定额管理；</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3、用能考核；</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4、能耗公示</w:t>
            </w:r>
          </w:p>
        </w:tc>
      </w:tr>
      <w:tr>
        <w:tblPrEx>
          <w:tblCellMar>
            <w:top w:w="0" w:type="dxa"/>
            <w:left w:w="108" w:type="dxa"/>
            <w:bottom w:w="0" w:type="dxa"/>
            <w:right w:w="108" w:type="dxa"/>
          </w:tblCellMar>
        </w:tblPrEx>
        <w:trPr>
          <w:trHeight w:val="1515"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报表管理</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numPr>
                <w:ilvl w:val="0"/>
                <w:numId w:val="5"/>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提供两种类型报表供用户使用，可扩展</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可下载</w:t>
            </w:r>
            <w:r>
              <w:rPr>
                <w:rFonts w:hint="eastAsia" w:ascii="宋体" w:hAnsi="宋体" w:eastAsia="宋体" w:cs="宋体"/>
                <w:b w:val="0"/>
                <w:bCs w:val="0"/>
                <w:color w:val="auto"/>
                <w:sz w:val="22"/>
                <w:szCs w:val="22"/>
                <w:highlight w:val="none"/>
              </w:rPr>
              <w:t>。</w:t>
            </w:r>
          </w:p>
          <w:p>
            <w:pPr>
              <w:numPr>
                <w:ilvl w:val="0"/>
                <w:numId w:val="5"/>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报表时间可选择日、月、年。</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整体报表，内容包括冷、热、电数据、能效指标、数据质量。</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电耗报表，内容包括整体的、分项的详细电耗数据，可用于月度抄表。</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节能足迹</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1、节能项目管理（节能项目管理可以将医院节能改造项目登记备案，提供改造项目的改造前和改造后的进行能源对比分析，帮助管理者对节能项目的实施效果做出评价</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w:t>
            </w:r>
          </w:p>
        </w:tc>
      </w:tr>
      <w:tr>
        <w:tblPrEx>
          <w:tblCellMar>
            <w:top w:w="0" w:type="dxa"/>
            <w:left w:w="108" w:type="dxa"/>
            <w:bottom w:w="0" w:type="dxa"/>
            <w:right w:w="108" w:type="dxa"/>
          </w:tblCellMar>
        </w:tblPrEx>
        <w:trPr>
          <w:trHeight w:val="557" w:hRule="atLeast"/>
        </w:trPr>
        <w:tc>
          <w:tcPr>
            <w:tcW w:w="115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设备监控系统</w:t>
            </w:r>
          </w:p>
        </w:tc>
        <w:tc>
          <w:tcPr>
            <w:tcW w:w="11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中央空调监测</w:t>
            </w:r>
          </w:p>
        </w:tc>
        <w:tc>
          <w:tcPr>
            <w:tcW w:w="925"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1、能够在平台页面展示中央空调系统运行情况，包括主机工作信息、冷冻冷却泵运行状态、出水回水温度、压力、制冷量、流量、流速以及中央空调系统能效信息等数据参数</w:t>
            </w:r>
          </w:p>
        </w:tc>
      </w:tr>
      <w:tr>
        <w:tblPrEx>
          <w:tblCellMar>
            <w:top w:w="0" w:type="dxa"/>
            <w:left w:w="108" w:type="dxa"/>
            <w:bottom w:w="0" w:type="dxa"/>
            <w:right w:w="108" w:type="dxa"/>
          </w:tblCellMar>
        </w:tblPrEx>
        <w:trPr>
          <w:trHeight w:val="90"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给排水监测</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1、通过远程监测可实时掌握设备运行状态，及时有效对故障进行处理；</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 xml:space="preserve">2、出现用水异常情况实时报警，及时处理维护，止损提效；                                          </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变配电系统监测</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1项</w:t>
            </w:r>
          </w:p>
        </w:tc>
        <w:tc>
          <w:tcPr>
            <w:tcW w:w="6023"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before="100" w:beforeAutospacing="1" w:after="100" w:afterAutospacing="1" w:line="240" w:lineRule="auto"/>
              <w:ind w:left="0" w:leftChars="0" w:firstLine="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低压配电支路监控实现对配电房内低压各回路电表参数和用电量的监控，包含各支路电压、电流、功率因数等参数，并且可以查询历史数据</w:t>
            </w:r>
            <w:r>
              <w:rPr>
                <w:rFonts w:hint="eastAsia" w:ascii="宋体" w:hAnsi="宋体" w:eastAsia="宋体" w:cs="宋体"/>
                <w:b w:val="0"/>
                <w:bCs w:val="0"/>
                <w:color w:val="auto"/>
                <w:sz w:val="22"/>
                <w:szCs w:val="22"/>
                <w:highlight w:val="none"/>
                <w:lang w:val="en-US" w:eastAsia="zh-CN"/>
              </w:rPr>
              <w:t>并</w:t>
            </w:r>
            <w:r>
              <w:rPr>
                <w:rFonts w:hint="eastAsia" w:ascii="宋体" w:hAnsi="宋体" w:eastAsia="宋体" w:cs="宋体"/>
                <w:b w:val="0"/>
                <w:bCs w:val="0"/>
                <w:color w:val="auto"/>
                <w:sz w:val="22"/>
                <w:szCs w:val="22"/>
                <w:highlight w:val="none"/>
              </w:rPr>
              <w:t>对设备的运行状态与运行参数进行实时监测，及时发现运行异常并自动报警。</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配电房综合监测</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1项</w:t>
            </w:r>
          </w:p>
        </w:tc>
        <w:tc>
          <w:tcPr>
            <w:tcW w:w="6023"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提供温湿度监测，通过变电所温湿度传感器，用户可远程实时监控变电所温湿度状况；</w:t>
            </w:r>
          </w:p>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提供浸水监测与预警，通过变电所水浸传感器，用户可远程实时监控变电所水浸状况，当发生水浸报警时，远程界面自动报警，提醒运维人员尽快处理；</w:t>
            </w:r>
          </w:p>
          <w:p>
            <w:pPr>
              <w:numPr>
                <w:ilvl w:val="0"/>
                <w:numId w:val="0"/>
              </w:num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提供安防监控，当红外双鉴发出报警时</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远程界面自动报警，提醒运维人员</w:t>
            </w:r>
            <w:r>
              <w:rPr>
                <w:rFonts w:hint="eastAsia" w:ascii="宋体" w:hAnsi="宋体" w:eastAsia="宋体" w:cs="宋体"/>
                <w:b w:val="0"/>
                <w:bCs w:val="0"/>
                <w:color w:val="auto"/>
                <w:sz w:val="22"/>
                <w:szCs w:val="22"/>
                <w:highlight w:val="none"/>
                <w:lang w:val="en-US" w:eastAsia="zh-CN"/>
              </w:rPr>
              <w:t>确认人员进出。</w:t>
            </w:r>
          </w:p>
        </w:tc>
      </w:tr>
      <w:tr>
        <w:tblPrEx>
          <w:tblCellMar>
            <w:top w:w="0" w:type="dxa"/>
            <w:left w:w="108" w:type="dxa"/>
            <w:bottom w:w="0" w:type="dxa"/>
            <w:right w:w="108" w:type="dxa"/>
          </w:tblCellMar>
        </w:tblPrEx>
        <w:trPr>
          <w:trHeight w:val="1068"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left"/>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设备预警</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报警方式：</w:t>
            </w:r>
            <w:r>
              <w:rPr>
                <w:rFonts w:hint="eastAsia" w:ascii="宋体" w:hAnsi="宋体" w:eastAsia="宋体" w:cs="宋体"/>
                <w:b w:val="0"/>
                <w:bCs w:val="0"/>
                <w:color w:val="auto"/>
                <w:sz w:val="22"/>
                <w:szCs w:val="22"/>
                <w:highlight w:val="none"/>
              </w:rPr>
              <w:br w:type="textWrapping"/>
            </w:r>
            <w:r>
              <w:rPr>
                <w:rFonts w:hint="eastAsia" w:ascii="宋体" w:hAnsi="宋体" w:eastAsia="宋体" w:cs="宋体"/>
                <w:b w:val="0"/>
                <w:bCs w:val="0"/>
                <w:color w:val="auto"/>
                <w:sz w:val="22"/>
                <w:szCs w:val="22"/>
                <w:highlight w:val="none"/>
              </w:rPr>
              <w:t>1、平台界面预警；</w:t>
            </w:r>
            <w:r>
              <w:rPr>
                <w:rFonts w:hint="eastAsia" w:ascii="宋体" w:hAnsi="宋体" w:eastAsia="宋体" w:cs="宋体"/>
                <w:b w:val="0"/>
                <w:bCs w:val="0"/>
                <w:color w:val="auto"/>
                <w:sz w:val="22"/>
                <w:szCs w:val="22"/>
                <w:highlight w:val="none"/>
              </w:rPr>
              <w:br w:type="textWrapping"/>
            </w:r>
            <w:r>
              <w:rPr>
                <w:rFonts w:hint="eastAsia" w:ascii="宋体" w:hAnsi="宋体" w:eastAsia="宋体" w:cs="宋体"/>
                <w:b w:val="0"/>
                <w:bCs w:val="0"/>
                <w:color w:val="auto"/>
                <w:sz w:val="22"/>
                <w:szCs w:val="22"/>
                <w:highlight w:val="none"/>
              </w:rPr>
              <w:t>2、电子邮件预警；</w:t>
            </w:r>
            <w:r>
              <w:rPr>
                <w:rFonts w:hint="eastAsia" w:ascii="宋体" w:hAnsi="宋体" w:eastAsia="宋体" w:cs="宋体"/>
                <w:b w:val="0"/>
                <w:bCs w:val="0"/>
                <w:color w:val="auto"/>
                <w:sz w:val="22"/>
                <w:szCs w:val="22"/>
                <w:highlight w:val="none"/>
              </w:rPr>
              <w:br w:type="textWrapping"/>
            </w:r>
            <w:r>
              <w:rPr>
                <w:rFonts w:hint="eastAsia" w:ascii="宋体" w:hAnsi="宋体" w:eastAsia="宋体" w:cs="宋体"/>
                <w:b w:val="0"/>
                <w:bCs w:val="0"/>
                <w:color w:val="auto"/>
                <w:sz w:val="22"/>
                <w:szCs w:val="22"/>
                <w:highlight w:val="none"/>
              </w:rPr>
              <w:t>3、利用医院短信平台预警</w:t>
            </w:r>
          </w:p>
        </w:tc>
      </w:tr>
      <w:tr>
        <w:tblPrEx>
          <w:tblCellMar>
            <w:top w:w="0" w:type="dxa"/>
            <w:left w:w="108" w:type="dxa"/>
            <w:bottom w:w="0" w:type="dxa"/>
            <w:right w:w="108" w:type="dxa"/>
          </w:tblCellMar>
        </w:tblPrEx>
        <w:trPr>
          <w:trHeight w:val="557" w:hRule="atLeast"/>
        </w:trPr>
        <w:tc>
          <w:tcPr>
            <w:tcW w:w="1153" w:type="dxa"/>
            <w:vMerge w:val="restar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后台系统</w:t>
            </w: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后勤高效运行管理系统基础</w:t>
            </w:r>
          </w:p>
          <w:p>
            <w:pPr>
              <w:spacing w:line="240" w:lineRule="auto"/>
              <w:jc w:val="center"/>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框架</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系统的基础服务，包括</w:t>
            </w:r>
            <w:r>
              <w:rPr>
                <w:rFonts w:hint="eastAsia" w:ascii="宋体" w:hAnsi="宋体" w:eastAsia="宋体" w:cs="宋体"/>
                <w:b w:val="0"/>
                <w:bCs w:val="0"/>
                <w:color w:val="auto"/>
                <w:sz w:val="22"/>
                <w:szCs w:val="22"/>
                <w:highlight w:val="none"/>
                <w:lang w:val="en-US" w:eastAsia="zh-CN"/>
              </w:rPr>
              <w:t>但不限于</w:t>
            </w:r>
            <w:r>
              <w:rPr>
                <w:rFonts w:hint="eastAsia" w:eastAsia="宋体" w:cs="宋体"/>
                <w:b w:val="0"/>
                <w:bCs w:val="0"/>
                <w:color w:val="auto"/>
                <w:sz w:val="22"/>
                <w:szCs w:val="22"/>
                <w:highlight w:val="none"/>
                <w:lang w:val="en-US" w:eastAsia="zh-CN"/>
              </w:rPr>
              <w:t>以下</w:t>
            </w:r>
            <w:r>
              <w:rPr>
                <w:rFonts w:hint="eastAsia" w:ascii="宋体" w:hAnsi="宋体" w:eastAsia="宋体" w:cs="宋体"/>
                <w:b w:val="0"/>
                <w:bCs w:val="0"/>
                <w:color w:val="auto"/>
                <w:sz w:val="22"/>
                <w:szCs w:val="22"/>
                <w:highlight w:val="none"/>
                <w:lang w:val="en-US"/>
              </w:rPr>
              <w:t>：</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1、系统配置的接口服务程序；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2、数据接口程序；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3、入库数据格式调整程序；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4、数据汇总计算程序；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eastAsia="zh-CN"/>
              </w:rPr>
              <w:t>5</w:t>
            </w:r>
            <w:r>
              <w:rPr>
                <w:rFonts w:hint="eastAsia" w:ascii="宋体" w:hAnsi="宋体" w:eastAsia="宋体" w:cs="宋体"/>
                <w:b w:val="0"/>
                <w:bCs w:val="0"/>
                <w:color w:val="auto"/>
                <w:sz w:val="22"/>
                <w:szCs w:val="22"/>
                <w:highlight w:val="none"/>
                <w:lang w:val="en-US"/>
              </w:rPr>
              <w:t>、报警服务程序；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lang w:val="en-US"/>
              </w:rPr>
              <w:t xml:space="preserve">、系统状态监视程序； </w:t>
            </w:r>
          </w:p>
        </w:tc>
      </w:tr>
      <w:tr>
        <w:tblPrEx>
          <w:tblCellMar>
            <w:top w:w="0" w:type="dxa"/>
            <w:left w:w="108" w:type="dxa"/>
            <w:bottom w:w="0" w:type="dxa"/>
            <w:right w:w="108" w:type="dxa"/>
          </w:tblCellMar>
        </w:tblPrEx>
        <w:trPr>
          <w:trHeight w:val="1289" w:hRule="atLeast"/>
        </w:trPr>
        <w:tc>
          <w:tcPr>
            <w:tcW w:w="1153" w:type="dxa"/>
            <w:vMerge w:val="continue"/>
            <w:tcBorders>
              <w:top w:val="single" w:color="auto" w:sz="4" w:space="0"/>
              <w:left w:val="single" w:color="auto" w:sz="4" w:space="0"/>
              <w:right w:val="single" w:color="auto" w:sz="4" w:space="0"/>
            </w:tcBorders>
            <w:noWrap/>
            <w:vAlign w:val="center"/>
          </w:tcPr>
          <w:p>
            <w:pPr>
              <w:spacing w:line="240" w:lineRule="auto"/>
              <w:ind w:firstLine="440" w:firstLineChars="200"/>
              <w:jc w:val="left"/>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数据管理（数据清洗，数据备份与恢复）</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数据库维护程序，定期对数据库进行清理与备份以保证数据库的稳定、数据安全及系统运行效率：</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1、对入库数据进行清洗过滤掉无效、过期、异常等数据；</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 xml:space="preserve">2、定期备份数据库，以实现数据容灾； </w:t>
            </w:r>
          </w:p>
        </w:tc>
      </w:tr>
      <w:tr>
        <w:tblPrEx>
          <w:tblCellMar>
            <w:top w:w="0" w:type="dxa"/>
            <w:left w:w="108" w:type="dxa"/>
            <w:bottom w:w="0" w:type="dxa"/>
            <w:right w:w="108" w:type="dxa"/>
          </w:tblCellMar>
        </w:tblPrEx>
        <w:trPr>
          <w:trHeight w:val="557" w:hRule="atLeast"/>
        </w:trPr>
        <w:tc>
          <w:tcPr>
            <w:tcW w:w="1153" w:type="dxa"/>
            <w:vMerge w:val="continue"/>
            <w:tcBorders>
              <w:left w:val="single" w:color="auto" w:sz="4" w:space="0"/>
              <w:bottom w:val="single" w:color="auto" w:sz="4" w:space="0"/>
              <w:right w:val="single" w:color="auto" w:sz="4" w:space="0"/>
            </w:tcBorders>
            <w:noWrap/>
            <w:vAlign w:val="center"/>
          </w:tcPr>
          <w:p>
            <w:pPr>
              <w:spacing w:line="240" w:lineRule="auto"/>
              <w:ind w:firstLine="440" w:firstLineChars="200"/>
              <w:jc w:val="left"/>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第三方数据接口</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color w:val="auto"/>
                <w:sz w:val="22"/>
                <w:szCs w:val="22"/>
                <w:highlight w:val="none"/>
              </w:rPr>
            </w:pPr>
            <w:r>
              <w:rPr>
                <w:rFonts w:hint="eastAsia"/>
                <w:color w:val="auto"/>
                <w:sz w:val="22"/>
                <w:szCs w:val="22"/>
                <w:highlight w:val="none"/>
              </w:rPr>
              <w:t>为第三方数据对接定制的接口程序，包括</w:t>
            </w:r>
            <w:r>
              <w:rPr>
                <w:rFonts w:hint="eastAsia"/>
                <w:color w:val="auto"/>
                <w:sz w:val="22"/>
                <w:szCs w:val="22"/>
                <w:highlight w:val="none"/>
                <w:lang w:val="en-US" w:eastAsia="zh-CN"/>
              </w:rPr>
              <w:t>但不限于以下内容</w:t>
            </w:r>
            <w:r>
              <w:rPr>
                <w:rFonts w:hint="eastAsia"/>
                <w:color w:val="auto"/>
                <w:sz w:val="22"/>
                <w:szCs w:val="22"/>
                <w:highlight w:val="none"/>
              </w:rPr>
              <w:t>：</w:t>
            </w:r>
            <w:r>
              <w:rPr>
                <w:rFonts w:hint="eastAsia"/>
                <w:color w:val="auto"/>
                <w:sz w:val="22"/>
                <w:szCs w:val="22"/>
                <w:highlight w:val="none"/>
              </w:rPr>
              <w:br w:type="textWrapping"/>
            </w:r>
            <w:r>
              <w:rPr>
                <w:rFonts w:hint="eastAsia"/>
                <w:color w:val="auto"/>
                <w:sz w:val="22"/>
                <w:szCs w:val="22"/>
                <w:highlight w:val="none"/>
              </w:rPr>
              <w:t>1、OPC客户端接口程序；</w:t>
            </w:r>
            <w:r>
              <w:rPr>
                <w:rFonts w:hint="eastAsia"/>
                <w:color w:val="auto"/>
                <w:sz w:val="22"/>
                <w:szCs w:val="22"/>
                <w:highlight w:val="none"/>
              </w:rPr>
              <w:br w:type="textWrapping"/>
            </w:r>
            <w:r>
              <w:rPr>
                <w:rFonts w:hint="eastAsia"/>
                <w:color w:val="auto"/>
                <w:sz w:val="22"/>
                <w:szCs w:val="22"/>
                <w:highlight w:val="none"/>
              </w:rPr>
              <w:t>2、BacNet接口程序；</w:t>
            </w:r>
            <w:r>
              <w:rPr>
                <w:rFonts w:hint="eastAsia"/>
                <w:color w:val="auto"/>
                <w:sz w:val="22"/>
                <w:szCs w:val="22"/>
                <w:highlight w:val="none"/>
              </w:rPr>
              <w:br w:type="textWrapping"/>
            </w:r>
            <w:r>
              <w:rPr>
                <w:rFonts w:hint="eastAsia"/>
                <w:color w:val="auto"/>
                <w:sz w:val="22"/>
                <w:szCs w:val="22"/>
                <w:highlight w:val="none"/>
              </w:rPr>
              <w:t>3、异构数据库接口程序；</w:t>
            </w:r>
            <w:r>
              <w:rPr>
                <w:rFonts w:hint="eastAsia"/>
                <w:color w:val="auto"/>
                <w:sz w:val="22"/>
                <w:szCs w:val="22"/>
                <w:highlight w:val="none"/>
              </w:rPr>
              <w:br w:type="textWrapping"/>
            </w:r>
            <w:r>
              <w:rPr>
                <w:rFonts w:hint="eastAsia"/>
                <w:color w:val="auto"/>
                <w:sz w:val="22"/>
                <w:szCs w:val="22"/>
                <w:highlight w:val="none"/>
              </w:rPr>
              <w:t>4、XML格式数据接口程序；</w:t>
            </w:r>
            <w:r>
              <w:rPr>
                <w:rFonts w:hint="eastAsia"/>
                <w:color w:val="auto"/>
                <w:sz w:val="22"/>
                <w:szCs w:val="22"/>
                <w:highlight w:val="none"/>
              </w:rPr>
              <w:br w:type="textWrapping"/>
            </w:r>
            <w:r>
              <w:rPr>
                <w:rFonts w:hint="eastAsia"/>
                <w:color w:val="auto"/>
                <w:sz w:val="22"/>
                <w:szCs w:val="22"/>
                <w:highlight w:val="none"/>
              </w:rPr>
              <w:t xml:space="preserve">5、特定仪表设备的采集程序； </w:t>
            </w:r>
          </w:p>
          <w:p>
            <w:pPr>
              <w:spacing w:line="240" w:lineRule="auto"/>
              <w:jc w:val="left"/>
              <w:rPr>
                <w:rFonts w:hint="default" w:eastAsia="宋体"/>
                <w:color w:val="auto"/>
                <w:highlight w:val="none"/>
                <w:lang w:val="en-US" w:eastAsia="zh-CN"/>
              </w:rPr>
            </w:pPr>
            <w:r>
              <w:rPr>
                <w:rFonts w:hint="eastAsia"/>
                <w:color w:val="auto"/>
                <w:sz w:val="22"/>
                <w:szCs w:val="22"/>
                <w:highlight w:val="none"/>
                <w:lang w:val="en-US" w:eastAsia="zh-CN"/>
              </w:rPr>
              <w:t>6、自身的工作量费用；</w:t>
            </w:r>
          </w:p>
        </w:tc>
      </w:tr>
    </w:tbl>
    <w:p>
      <w:pPr>
        <w:spacing w:line="360" w:lineRule="auto"/>
        <w:jc w:val="left"/>
        <w:rPr>
          <w:rFonts w:hint="eastAsia" w:ascii="宋体" w:hAnsi="宋体" w:eastAsia="宋体" w:cs="宋体"/>
          <w:b w:val="0"/>
          <w:bCs w:val="0"/>
          <w:color w:val="auto"/>
          <w:sz w:val="22"/>
          <w:szCs w:val="22"/>
          <w:highlight w:val="none"/>
        </w:rPr>
      </w:pPr>
    </w:p>
    <w:p>
      <w:pPr>
        <w:numPr>
          <w:ilvl w:val="0"/>
          <w:numId w:val="6"/>
        </w:numPr>
        <w:spacing w:line="360" w:lineRule="auto"/>
        <w:ind w:left="0" w:leftChars="0" w:firstLine="403" w:firstLineChars="0"/>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中央空调</w:t>
      </w:r>
      <w:r>
        <w:rPr>
          <w:rFonts w:hint="eastAsia" w:ascii="宋体" w:hAnsi="宋体" w:eastAsia="宋体" w:cs="宋体"/>
          <w:b/>
          <w:bCs/>
          <w:color w:val="auto"/>
          <w:sz w:val="22"/>
          <w:szCs w:val="22"/>
          <w:highlight w:val="none"/>
          <w:lang w:val="en-US" w:eastAsia="zh-CN"/>
        </w:rPr>
        <w:t>节能控制</w:t>
      </w:r>
      <w:r>
        <w:rPr>
          <w:rFonts w:hint="eastAsia" w:ascii="宋体" w:hAnsi="宋体" w:eastAsia="宋体" w:cs="宋体"/>
          <w:b/>
          <w:bCs/>
          <w:color w:val="auto"/>
          <w:sz w:val="22"/>
          <w:szCs w:val="22"/>
          <w:highlight w:val="none"/>
        </w:rPr>
        <w:t>系统</w:t>
      </w:r>
      <w:r>
        <w:rPr>
          <w:rFonts w:hint="eastAsia" w:ascii="宋体" w:hAnsi="宋体" w:eastAsia="宋体" w:cs="宋体"/>
          <w:b/>
          <w:bCs/>
          <w:color w:val="auto"/>
          <w:sz w:val="22"/>
          <w:szCs w:val="22"/>
          <w:highlight w:val="none"/>
          <w:lang w:val="en-US" w:eastAsia="zh-CN"/>
        </w:rPr>
        <w:t>软件</w:t>
      </w:r>
      <w:r>
        <w:rPr>
          <w:rFonts w:hint="eastAsia" w:ascii="宋体" w:hAnsi="宋体" w:eastAsia="宋体" w:cs="宋体"/>
          <w:b/>
          <w:bCs/>
          <w:color w:val="auto"/>
          <w:sz w:val="22"/>
          <w:szCs w:val="22"/>
          <w:highlight w:val="none"/>
        </w:rPr>
        <w:t>要求</w:t>
      </w:r>
      <w:r>
        <w:rPr>
          <w:rFonts w:hint="eastAsia" w:ascii="宋体" w:hAnsi="宋体" w:eastAsia="宋体" w:cs="宋体"/>
          <w:b/>
          <w:bCs/>
          <w:color w:val="auto"/>
          <w:sz w:val="22"/>
          <w:szCs w:val="22"/>
          <w:highlight w:val="none"/>
          <w:lang w:eastAsia="zh-CN"/>
        </w:rPr>
        <w:t>：</w:t>
      </w:r>
    </w:p>
    <w:tbl>
      <w:tblPr>
        <w:tblStyle w:val="21"/>
        <w:tblW w:w="9243" w:type="dxa"/>
        <w:tblInd w:w="93"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735"/>
        <w:gridCol w:w="8508"/>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16" w:hRule="atLeast"/>
        </w:trPr>
        <w:tc>
          <w:tcPr>
            <w:tcW w:w="735" w:type="dxa"/>
            <w:tcBorders>
              <w:bottom w:val="single" w:color="auto" w:sz="4" w:space="0"/>
              <w:right w:val="single" w:color="auto" w:sz="4" w:space="0"/>
            </w:tcBorders>
            <w:shd w:val="clear" w:color="000000" w:fill="FFFFFF"/>
            <w:noWrap w:val="0"/>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序号</w:t>
            </w:r>
          </w:p>
        </w:tc>
        <w:tc>
          <w:tcPr>
            <w:tcW w:w="8508" w:type="dxa"/>
            <w:tcBorders>
              <w:left w:val="nil"/>
              <w:bottom w:val="single" w:color="auto" w:sz="4" w:space="0"/>
            </w:tcBorders>
            <w:shd w:val="clear" w:color="000000" w:fill="FFFFFF"/>
            <w:noWrap w:val="0"/>
            <w:vAlign w:val="center"/>
          </w:tcPr>
          <w:p>
            <w:pPr>
              <w:spacing w:line="240" w:lineRule="auto"/>
              <w:ind w:firstLine="2640" w:firstLineChars="1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系统整体要求</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3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中央空调监控系统平台实现远程监控设备运行并对系统的能耗状况进行统计分析。</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99"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实时精准采集冷站负荷、电量等，仪表设置、精度、热平衡校核等应满足ASHREA、GMEB、AHRI550/590等相关标准。</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6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支持冷站和分设备的实时能效计算、分析，系统支持“由指标到问题”的节能诊断算法。</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控制器中设有节能专家规则库，保证控制精度、鲁棒性和节能效果。通过数据积累，支持节能规则库在线升级。</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5</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具备自动环境温度关联修正、自动冷冻水极限温度流量补偿修正。</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557" w:hRule="atLeast"/>
        </w:trPr>
        <w:tc>
          <w:tcPr>
            <w:tcW w:w="735" w:type="dxa"/>
            <w:tcBorders>
              <w:top w:val="single" w:color="auto" w:sz="4" w:space="0"/>
              <w:bottom w:val="single" w:color="auto" w:sz="4" w:space="0"/>
              <w:right w:val="single" w:color="auto" w:sz="4" w:space="0"/>
            </w:tcBorders>
            <w:shd w:val="clear" w:color="000000" w:fill="FFFFFF"/>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6</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具备自动记录设备运行时长、启停次数、能效参数，自动磨损均衡、优化组合。</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7</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具备启停机自动安全连锁控制，管道超温自动停机，冷机流量自动保护、管路防冻保护、末端流量自动保护。</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8</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具备运行状态、报警、故障自动显示，自动区分故障报警停机或连锁控制；维保信息自动提示。</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9</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能配合冷站节能专家诊断和大数据分析平台软件，支持在线升级专家策略库。</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05" w:hRule="atLeast"/>
        </w:trPr>
        <w:tc>
          <w:tcPr>
            <w:tcW w:w="9243" w:type="dxa"/>
            <w:gridSpan w:val="2"/>
            <w:tcBorders>
              <w:top w:val="single" w:color="auto" w:sz="4" w:space="0"/>
              <w:bottom w:val="single" w:color="auto" w:sz="4" w:space="0"/>
            </w:tcBorders>
            <w:noWrap/>
            <w:vAlign w:val="center"/>
          </w:tcPr>
          <w:p>
            <w:pPr>
              <w:spacing w:line="240" w:lineRule="auto"/>
              <w:jc w:val="both"/>
              <w:rPr>
                <w:rFonts w:hint="eastAsia" w:ascii="宋体" w:hAnsi="宋体" w:eastAsia="宋体" w:cs="宋体"/>
                <w:b w:val="0"/>
                <w:bCs w:val="0"/>
                <w:color w:val="auto"/>
                <w:sz w:val="22"/>
                <w:szCs w:val="22"/>
                <w:highlight w:val="none"/>
              </w:rPr>
            </w:pPr>
            <w:r>
              <w:rPr>
                <w:rFonts w:hint="eastAsia" w:eastAsia="宋体" w:cs="宋体"/>
                <w:b/>
                <w:bCs/>
                <w:color w:val="auto"/>
                <w:sz w:val="22"/>
                <w:szCs w:val="22"/>
                <w:highlight w:val="none"/>
                <w:lang w:val="en-US" w:eastAsia="zh-CN"/>
              </w:rPr>
              <w:t>③</w:t>
            </w:r>
            <w:r>
              <w:rPr>
                <w:rFonts w:hint="eastAsia" w:ascii="宋体" w:hAnsi="宋体" w:eastAsia="宋体" w:cs="宋体"/>
                <w:b/>
                <w:bCs/>
                <w:color w:val="auto"/>
                <w:sz w:val="22"/>
                <w:szCs w:val="22"/>
                <w:highlight w:val="none"/>
                <w:lang w:val="en-US" w:eastAsia="zh-CN"/>
              </w:rPr>
              <w:t>监控系统要求</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557" w:hRule="atLeast"/>
        </w:trPr>
        <w:tc>
          <w:tcPr>
            <w:tcW w:w="9243" w:type="dxa"/>
            <w:gridSpan w:val="2"/>
            <w:tcBorders>
              <w:top w:val="single" w:color="auto" w:sz="4" w:space="0"/>
              <w:bottom w:val="single" w:color="auto" w:sz="4" w:space="0"/>
            </w:tcBorders>
            <w:noWrap/>
            <w:vAlign w:val="center"/>
          </w:tcPr>
          <w:p>
            <w:pPr>
              <w:numPr>
                <w:ilvl w:val="0"/>
                <w:numId w:val="7"/>
              </w:numPr>
              <w:kinsoku w:val="0"/>
              <w:adjustRightInd w:val="0"/>
              <w:snapToGrid w:val="0"/>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具有设备综合管理功能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建立设备台帐档案管理，定义设备编码、故障编码，设备静态信息，变动信息、设备履历及工艺卡片等，能及时查询、管理设备。</w:t>
            </w:r>
          </w:p>
          <w:p>
            <w:pPr>
              <w:kinsoku w:val="0"/>
              <w:adjustRightInd w:val="0"/>
              <w:snapToGrid w:val="0"/>
              <w:spacing w:line="240" w:lineRule="auto"/>
              <w:ind w:firstLine="440" w:firstLineChars="20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结合数据采集终端、历史数据服务器、监测诊断中心，全天候实时监测远程的大型设备的状态、运行参数、工艺数据，诊断分析，形成运行档案，进行存储。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对设备进行远程监控，实现对设备的搜索、查阅、定位功能，远程控制，故障诊断，信息反馈功能</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2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对所接入设备进行信息管控。</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528"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可以对设备全生命周期进行管理及时预警和更换配件，防止事故发生；通过在管理系统对设备准确定位，方便后续管理；</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34"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具有2.5D或3D图形化管理界面，能够直观的展示工艺过程；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8"/>
              </w:numPr>
              <w:kinsoku w:val="0"/>
              <w:adjustRightInd w:val="0"/>
              <w:snapToGrid w:val="0"/>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具有能效指标监测及分析诊断功能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通过直观的界面显示以下指标</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包括但不限于以下指标</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并作为历史数据进行存储。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0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机房平均能效比、各设备平均能效比；</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2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机房瞬时能效比、各设备瞬时能效比；</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p>
        </w:tc>
        <w:tc>
          <w:tcPr>
            <w:tcW w:w="8508" w:type="dxa"/>
            <w:tcBorders>
              <w:top w:val="single" w:color="auto" w:sz="4" w:space="0"/>
              <w:left w:val="single" w:color="auto" w:sz="4" w:space="0"/>
              <w:bottom w:val="single" w:color="auto" w:sz="4" w:space="0"/>
            </w:tcBorders>
            <w:noWrap/>
            <w:vAlign w:val="center"/>
          </w:tcPr>
          <w:p>
            <w:pPr>
              <w:pStyle w:val="20"/>
              <w:numPr>
                <w:ilvl w:val="0"/>
                <w:numId w:val="0"/>
              </w:numPr>
              <w:kinsoku w:val="0"/>
              <w:spacing w:after="0"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通过能效日历、月历的表现方式，将每天或每月的系统能效呈现出来。</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9"/>
              </w:numPr>
              <w:kinsoku w:val="0"/>
              <w:adjustRightInd w:val="0"/>
              <w:snapToGrid w:val="0"/>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具有报表体系功能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实时采集设备的运行数据、能效数据等，对数据进行分析，形成完善的运行日报、月报、季报、年报。通过多种途径，给用户进行反馈，让用户和设备管理方及时了解运行状态、设备状态、能效状态。保证报告产生的及时性、准确性、可靠性。</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1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年、月、日设备运行表；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42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年、月、日能耗记录表、能效记录表；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35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年、月、日运行费用分析报表；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0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其他定制报表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10"/>
              </w:numPr>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具有数据挖掘功能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通过可视化界面，显示远程设备实时数据和运行趋势；查询设备运行的历史趋势曲线，进行设备性能分析；能耗、效率、节电率同比、环比等，柱形图、饼图、面积图等数据可视化展示</w:t>
            </w:r>
            <w:r>
              <w:rPr>
                <w:rFonts w:hint="eastAsia" w:ascii="宋体" w:hAnsi="宋体" w:eastAsia="宋体" w:cs="宋体"/>
                <w:b w:val="0"/>
                <w:bCs w:val="0"/>
                <w:color w:val="auto"/>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11"/>
              </w:numPr>
              <w:kinsoku w:val="0"/>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具有报警预警功能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自动监测故障状态或异常发展趋势，实现在线分析系统的运行状态，预警，提供预防性报警、及时故障通知等服务。</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59"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设备故障报警</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30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能效比过低报警</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12"/>
              </w:numPr>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控制算法要求</w:t>
            </w:r>
            <w:r>
              <w:rPr>
                <w:rFonts w:hint="eastAsia" w:ascii="宋体" w:hAnsi="宋体" w:eastAsia="宋体" w:cs="宋体"/>
                <w:b w:val="0"/>
                <w:bCs w:val="0"/>
                <w:color w:val="auto"/>
                <w:sz w:val="22"/>
                <w:szCs w:val="22"/>
                <w:highlight w:val="none"/>
                <w:lang w:eastAsia="zh-CN"/>
              </w:rPr>
              <w:t>：</w:t>
            </w:r>
          </w:p>
          <w:p>
            <w:pPr>
              <w:numPr>
                <w:ilvl w:val="0"/>
                <w:numId w:val="0"/>
              </w:numPr>
              <w:spacing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冷水机组控制算法</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(1)根据不同冷机搭配能效形成的不同负荷率下的开关机策略，支持在线修正冷机特性模型</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(2)冷冻水设定温度优化策略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自动增减机策略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(4)故障切换策略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冷水泵控制算法</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(1)定时轮换策略</w:t>
            </w:r>
          </w:p>
          <w:p>
            <w:pPr>
              <w:pStyle w:val="20"/>
              <w:spacing w:after="0" w:line="240" w:lineRule="auto"/>
              <w:ind w:left="0" w:leftChars="0" w:firstLine="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(2)故障切换策略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(3)变频控制策略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冷却侧控制算法</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(1)定时轮换策略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(2)故障切换策略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(3)冷却侧整体高效运行策略（含冷却回水温度优化设定、冷却塔风机、冷却水泵联合调频等策略）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供热控制算法</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（1）电动阀控制策略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（2）水泵定时轮换策略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（3）故障切换策略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（4）变频控制策略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（5）气候补偿控制策略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（6）分时分区控制策略</w:t>
            </w:r>
          </w:p>
        </w:tc>
      </w:tr>
    </w:tbl>
    <w:p>
      <w:pPr>
        <w:pStyle w:val="5"/>
        <w:spacing w:before="156" w:after="156" w:line="360" w:lineRule="auto"/>
        <w:jc w:val="left"/>
        <w:rPr>
          <w:rFonts w:hint="eastAsia" w:ascii="宋体" w:hAnsi="宋体" w:eastAsia="宋体" w:cs="宋体"/>
          <w:b w:val="0"/>
          <w:bCs w:val="0"/>
          <w:color w:val="auto"/>
          <w:sz w:val="22"/>
          <w:szCs w:val="22"/>
          <w:highlight w:val="none"/>
        </w:rPr>
      </w:pPr>
      <w:bookmarkStart w:id="2" w:name="_Toc13564"/>
      <w:r>
        <w:rPr>
          <w:rFonts w:hint="eastAsia" w:ascii="宋体" w:hAnsi="宋体" w:eastAsia="宋体" w:cs="宋体"/>
          <w:b w:val="0"/>
          <w:bCs w:val="0"/>
          <w:color w:val="auto"/>
          <w:sz w:val="22"/>
          <w:szCs w:val="22"/>
          <w:highlight w:val="none"/>
        </w:rPr>
        <w:t>（二）建设内容</w:t>
      </w:r>
      <w:bookmarkEnd w:id="2"/>
    </w:p>
    <w:tbl>
      <w:tblPr>
        <w:tblStyle w:val="21"/>
        <w:tblW w:w="939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246"/>
        <w:gridCol w:w="6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top"/>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序号</w:t>
            </w:r>
          </w:p>
        </w:tc>
        <w:tc>
          <w:tcPr>
            <w:tcW w:w="2246" w:type="dxa"/>
            <w:noWrap w:val="0"/>
            <w:vAlign w:val="top"/>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建设内容</w:t>
            </w:r>
          </w:p>
        </w:tc>
        <w:tc>
          <w:tcPr>
            <w:tcW w:w="6439" w:type="dxa"/>
            <w:noWrap w:val="0"/>
            <w:vAlign w:val="top"/>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细节描述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搭建后勤业务的智慧后勤综合管控平台</w:t>
            </w:r>
          </w:p>
        </w:tc>
        <w:tc>
          <w:tcPr>
            <w:tcW w:w="6439" w:type="dxa"/>
            <w:noWrap w:val="0"/>
            <w:vAlign w:val="center"/>
          </w:tcPr>
          <w:p>
            <w:pPr>
              <w:pStyle w:val="25"/>
              <w:numPr>
                <w:ilvl w:val="0"/>
                <w:numId w:val="0"/>
              </w:numPr>
              <w:spacing w:line="240" w:lineRule="auto"/>
              <w:ind w:leftChars="0"/>
              <w:jc w:val="both"/>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搭建院区后勤能源总控平台</w:t>
            </w:r>
            <w:r>
              <w:rPr>
                <w:rFonts w:hint="eastAsia" w:ascii="宋体" w:hAnsi="宋体" w:eastAsia="宋体" w:cs="宋体"/>
                <w:b w:val="0"/>
                <w:bCs w:val="0"/>
                <w:color w:val="auto"/>
                <w:sz w:val="22"/>
                <w:szCs w:val="22"/>
                <w:highlight w:val="none"/>
              </w:rPr>
              <w:t>，实现医院能源管理、设备监控</w:t>
            </w:r>
            <w:r>
              <w:rPr>
                <w:rFonts w:hint="eastAsia" w:ascii="宋体" w:hAnsi="宋体" w:eastAsia="宋体" w:cs="宋体"/>
                <w:b w:val="0"/>
                <w:bCs w:val="0"/>
                <w:color w:val="auto"/>
                <w:sz w:val="22"/>
                <w:szCs w:val="22"/>
                <w:highlight w:val="none"/>
                <w:lang w:val="en-US" w:eastAsia="zh-CN"/>
              </w:rPr>
              <w:t>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cs="宋体"/>
                <w:b w:val="0"/>
                <w:bCs w:val="0"/>
                <w:color w:val="auto"/>
                <w:sz w:val="22"/>
                <w:szCs w:val="22"/>
                <w:highlight w:val="none"/>
                <w:lang w:val="en-US" w:eastAsia="zh-CN"/>
              </w:rPr>
              <w:t>平阳县人民医院</w:t>
            </w:r>
            <w:r>
              <w:rPr>
                <w:rFonts w:hint="eastAsia" w:ascii="宋体" w:hAnsi="宋体" w:eastAsia="宋体" w:cs="宋体"/>
                <w:b w:val="0"/>
                <w:bCs w:val="0"/>
                <w:color w:val="auto"/>
                <w:sz w:val="22"/>
                <w:szCs w:val="22"/>
                <w:highlight w:val="none"/>
              </w:rPr>
              <w:t>展示中心建设</w:t>
            </w:r>
          </w:p>
        </w:tc>
        <w:tc>
          <w:tcPr>
            <w:tcW w:w="6439" w:type="dxa"/>
            <w:noWrap w:val="0"/>
            <w:vAlign w:val="top"/>
          </w:tcPr>
          <w:p>
            <w:pPr>
              <w:pStyle w:val="25"/>
              <w:numPr>
                <w:ilvl w:val="0"/>
                <w:numId w:val="0"/>
              </w:numPr>
              <w:spacing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院区安装拼接屏显示器；配套矩阵控制器以及一体化触控计算机，办公室配套1套平台操作计算机；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能源分项分科室管理</w:t>
            </w:r>
          </w:p>
        </w:tc>
        <w:tc>
          <w:tcPr>
            <w:tcW w:w="6439" w:type="dxa"/>
            <w:noWrap w:val="0"/>
            <w:vAlign w:val="top"/>
          </w:tcPr>
          <w:p>
            <w:pPr>
              <w:numPr>
                <w:ilvl w:val="0"/>
                <w:numId w:val="0"/>
              </w:numPr>
              <w:spacing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全院水、电、气、热水、空调等进行分项分科室管理；</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需要分户计量业务科室详见业务科室分布表。</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其中水电点位不应低于以下数量。住院楼用电监测点位57处，用水点位47处；门诊楼用电监测点位33处，用水点位31处；行政楼用电监测点位8处，用水点位12处；其他楼栋水电各1处。 具体点位数量以实际结算数量为准。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中央空调节能改造</w:t>
            </w:r>
          </w:p>
        </w:tc>
        <w:tc>
          <w:tcPr>
            <w:tcW w:w="6439" w:type="dxa"/>
            <w:noWrap w:val="0"/>
            <w:vAlign w:val="top"/>
          </w:tcPr>
          <w:p>
            <w:pPr>
              <w:pStyle w:val="25"/>
              <w:numPr>
                <w:ilvl w:val="0"/>
                <w:numId w:val="0"/>
              </w:numPr>
              <w:spacing w:line="240" w:lineRule="auto"/>
              <w:ind w:leftChars="0"/>
              <w:jc w:val="left"/>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冷水机组制冷和锅炉采暖节能改造</w:t>
            </w:r>
            <w:r>
              <w:rPr>
                <w:rFonts w:hint="eastAsia" w:ascii="宋体" w:hAnsi="宋体" w:eastAsia="宋体" w:cs="宋体"/>
                <w:b w:val="0"/>
                <w:bCs w:val="0"/>
                <w:color w:val="auto"/>
                <w:sz w:val="22"/>
                <w:szCs w:val="22"/>
                <w:highlight w:val="none"/>
                <w:lang w:eastAsia="zh-CN"/>
              </w:rPr>
              <w:t>；</w:t>
            </w:r>
          </w:p>
          <w:p>
            <w:pPr>
              <w:numPr>
                <w:ilvl w:val="0"/>
                <w:numId w:val="0"/>
              </w:numPr>
              <w:spacing w:line="240" w:lineRule="auto"/>
              <w:ind w:leftChars="0"/>
              <w:jc w:val="left"/>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空调末端控制组合式空调箱</w:t>
            </w:r>
            <w:r>
              <w:rPr>
                <w:rFonts w:hint="eastAsia" w:ascii="宋体" w:hAnsi="宋体" w:eastAsia="宋体" w:cs="宋体"/>
                <w:b w:val="0"/>
                <w:bCs w:val="0"/>
                <w:color w:val="auto"/>
                <w:sz w:val="22"/>
                <w:szCs w:val="22"/>
                <w:highlight w:val="none"/>
                <w:lang w:eastAsia="zh-CN"/>
              </w:rPr>
              <w:t>；</w:t>
            </w:r>
          </w:p>
          <w:p>
            <w:pPr>
              <w:numPr>
                <w:ilvl w:val="0"/>
                <w:numId w:val="0"/>
              </w:numPr>
              <w:spacing w:line="240" w:lineRule="auto"/>
              <w:ind w:leftChars="0"/>
              <w:jc w:val="left"/>
              <w:rPr>
                <w:rFonts w:hint="eastAsia"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空调末端远程控制至少包括门诊、病房楼、行政楼所有电梯厅和公共区域、行政楼七楼大会议室。详见医院图纸。</w:t>
            </w:r>
            <w:r>
              <w:rPr>
                <w:rFonts w:hint="eastAsia" w:cs="宋体"/>
                <w:b w:val="0"/>
                <w:bCs w:val="0"/>
                <w:color w:val="auto"/>
                <w:sz w:val="22"/>
                <w:szCs w:val="22"/>
                <w:highlight w:val="none"/>
                <w:lang w:val="en-US" w:eastAsia="zh-CN"/>
              </w:rPr>
              <w:t xml:space="preserve">  </w:t>
            </w:r>
          </w:p>
          <w:p>
            <w:pPr>
              <w:numPr>
                <w:ilvl w:val="0"/>
                <w:numId w:val="0"/>
              </w:numPr>
              <w:spacing w:line="240" w:lineRule="auto"/>
              <w:ind w:leftChars="0"/>
              <w:jc w:val="left"/>
              <w:rPr>
                <w:rFonts w:hint="default" w:ascii="宋体" w:hAnsi="宋体" w:eastAsia="宋体" w:cs="宋体"/>
                <w:b w:val="0"/>
                <w:bCs w:val="0"/>
                <w:color w:val="auto"/>
                <w:sz w:val="22"/>
                <w:szCs w:val="22"/>
                <w:highlight w:val="none"/>
                <w:lang w:val="en-US" w:eastAsia="zh-CN"/>
              </w:rPr>
            </w:pPr>
            <w:r>
              <w:rPr>
                <w:rFonts w:hint="eastAsia" w:cs="宋体"/>
                <w:b w:val="0"/>
                <w:bCs w:val="0"/>
                <w:color w:val="auto"/>
                <w:sz w:val="22"/>
                <w:szCs w:val="22"/>
                <w:highlight w:val="none"/>
                <w:lang w:val="en-US" w:eastAsia="zh-CN"/>
              </w:rPr>
              <w:t>上述包括门诊诊区一次二次候诊区。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5</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变配电系统监测</w:t>
            </w:r>
          </w:p>
        </w:tc>
        <w:tc>
          <w:tcPr>
            <w:tcW w:w="6439" w:type="dxa"/>
            <w:noWrap w:val="0"/>
            <w:vAlign w:val="top"/>
          </w:tcPr>
          <w:p>
            <w:pPr>
              <w:numPr>
                <w:ilvl w:val="0"/>
                <w:numId w:val="0"/>
              </w:numPr>
              <w:spacing w:before="100" w:beforeAutospacing="1" w:after="100" w:afterAutospacing="1"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低压配电支路监控实现对配电房内低压各回路电表参数和用电量的监控，包含各支路电压、电流、功率因数等参数，并且可以查询历史数据</w:t>
            </w:r>
            <w:r>
              <w:rPr>
                <w:rFonts w:hint="eastAsia" w:ascii="宋体" w:hAnsi="宋体" w:eastAsia="宋体" w:cs="宋体"/>
                <w:b w:val="0"/>
                <w:bCs w:val="0"/>
                <w:color w:val="auto"/>
                <w:sz w:val="22"/>
                <w:szCs w:val="22"/>
                <w:highlight w:val="none"/>
                <w:lang w:val="en-US" w:eastAsia="zh-CN"/>
              </w:rPr>
              <w:t>并</w:t>
            </w:r>
            <w:r>
              <w:rPr>
                <w:rFonts w:hint="eastAsia" w:ascii="宋体" w:hAnsi="宋体" w:eastAsia="宋体" w:cs="宋体"/>
                <w:b w:val="0"/>
                <w:bCs w:val="0"/>
                <w:color w:val="auto"/>
                <w:sz w:val="22"/>
                <w:szCs w:val="22"/>
                <w:highlight w:val="none"/>
              </w:rPr>
              <w:t>对设备的运行状态与运行参数进行实时监测，及时发现运行异常并自动报警。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6</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配电房综合监测</w:t>
            </w:r>
            <w:r>
              <w:rPr>
                <w:rFonts w:hint="eastAsia" w:cs="宋体"/>
                <w:b w:val="0"/>
                <w:bCs w:val="0"/>
                <w:color w:val="auto"/>
                <w:sz w:val="22"/>
                <w:szCs w:val="22"/>
                <w:highlight w:val="none"/>
                <w:lang w:eastAsia="zh-CN"/>
              </w:rPr>
              <w:t>、水泵房、暖通机房</w:t>
            </w:r>
          </w:p>
        </w:tc>
        <w:tc>
          <w:tcPr>
            <w:tcW w:w="6439" w:type="dxa"/>
            <w:noWrap w:val="0"/>
            <w:vAlign w:val="top"/>
          </w:tcPr>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提供温湿度监测；</w:t>
            </w:r>
          </w:p>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提供浸水监测与预警；</w:t>
            </w:r>
          </w:p>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提供安防监控</w:t>
            </w:r>
            <w:r>
              <w:rPr>
                <w:rFonts w:hint="eastAsia" w:ascii="宋体" w:hAnsi="宋体" w:eastAsia="宋体" w:cs="宋体"/>
                <w:b w:val="0"/>
                <w:bCs w:val="0"/>
                <w:color w:val="auto"/>
                <w:sz w:val="22"/>
                <w:szCs w:val="2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val="en-US" w:eastAsia="zh-CN"/>
              </w:rPr>
              <w:t>7</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生活水泵房供水监测</w:t>
            </w:r>
          </w:p>
        </w:tc>
        <w:tc>
          <w:tcPr>
            <w:tcW w:w="6439" w:type="dxa"/>
            <w:noWrap w:val="0"/>
            <w:vAlign w:val="top"/>
          </w:tcPr>
          <w:p>
            <w:pPr>
              <w:numPr>
                <w:ilvl w:val="0"/>
                <w:numId w:val="0"/>
              </w:numPr>
              <w:spacing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通过远程监测可实时掌握设备运行状态，及时有效对故障进行处理。出现用水异常情况实时报警，及时处理维护，止损提效。</w:t>
            </w:r>
          </w:p>
        </w:tc>
      </w:tr>
    </w:tbl>
    <w:p>
      <w:pPr>
        <w:numPr>
          <w:ilvl w:val="0"/>
          <w:numId w:val="13"/>
        </w:numPr>
        <w:spacing w:line="360" w:lineRule="auto"/>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设备清单需求和技术规范</w:t>
      </w:r>
    </w:p>
    <w:p>
      <w:pPr>
        <w:numPr>
          <w:ilvl w:val="0"/>
          <w:numId w:val="0"/>
        </w:numPr>
        <w:spacing w:line="360" w:lineRule="auto"/>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一、综合能源管控平台系统建设</w:t>
      </w:r>
    </w:p>
    <w:p>
      <w:pPr>
        <w:numPr>
          <w:ilvl w:val="0"/>
          <w:numId w:val="0"/>
        </w:numPr>
        <w:spacing w:line="360" w:lineRule="auto"/>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①系统硬件要求：</w:t>
      </w:r>
    </w:p>
    <w:tbl>
      <w:tblPr>
        <w:tblStyle w:val="21"/>
        <w:tblW w:w="9587" w:type="dxa"/>
        <w:tblInd w:w="-180" w:type="dxa"/>
        <w:tblLayout w:type="fixed"/>
        <w:tblCellMar>
          <w:top w:w="0" w:type="dxa"/>
          <w:left w:w="0" w:type="dxa"/>
          <w:bottom w:w="0" w:type="dxa"/>
          <w:right w:w="0" w:type="dxa"/>
        </w:tblCellMar>
      </w:tblPr>
      <w:tblGrid>
        <w:gridCol w:w="696"/>
        <w:gridCol w:w="2047"/>
        <w:gridCol w:w="5413"/>
        <w:gridCol w:w="708"/>
        <w:gridCol w:w="723"/>
      </w:tblGrid>
      <w:tr>
        <w:tblPrEx>
          <w:tblCellMar>
            <w:top w:w="0" w:type="dxa"/>
            <w:left w:w="0" w:type="dxa"/>
            <w:bottom w:w="0" w:type="dxa"/>
            <w:right w:w="0" w:type="dxa"/>
          </w:tblCellMar>
        </w:tblPrEx>
        <w:trPr>
          <w:trHeight w:val="285" w:hRule="atLeast"/>
        </w:trPr>
        <w:tc>
          <w:tcPr>
            <w:tcW w:w="696" w:type="dxa"/>
            <w:tcBorders>
              <w:top w:val="single" w:color="000000" w:sz="8" w:space="0"/>
              <w:left w:val="single" w:color="000000" w:sz="8" w:space="0"/>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序号</w:t>
            </w:r>
          </w:p>
        </w:tc>
        <w:tc>
          <w:tcPr>
            <w:tcW w:w="2047" w:type="dxa"/>
            <w:tcBorders>
              <w:top w:val="single" w:color="000000" w:sz="8" w:space="0"/>
              <w:left w:val="nil"/>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项目名称</w:t>
            </w:r>
          </w:p>
        </w:tc>
        <w:tc>
          <w:tcPr>
            <w:tcW w:w="5413" w:type="dxa"/>
            <w:tcBorders>
              <w:top w:val="single" w:color="000000" w:sz="8" w:space="0"/>
              <w:left w:val="nil"/>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技术要求</w:t>
            </w:r>
          </w:p>
        </w:tc>
        <w:tc>
          <w:tcPr>
            <w:tcW w:w="708" w:type="dxa"/>
            <w:tcBorders>
              <w:top w:val="single" w:color="000000" w:sz="8" w:space="0"/>
              <w:left w:val="nil"/>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数量</w:t>
            </w:r>
          </w:p>
        </w:tc>
        <w:tc>
          <w:tcPr>
            <w:tcW w:w="723" w:type="dxa"/>
            <w:tcBorders>
              <w:top w:val="single" w:color="000000" w:sz="8" w:space="0"/>
              <w:left w:val="nil"/>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单位</w:t>
            </w:r>
          </w:p>
        </w:tc>
      </w:tr>
      <w:tr>
        <w:tblPrEx>
          <w:tblCellMar>
            <w:top w:w="0" w:type="dxa"/>
            <w:left w:w="0" w:type="dxa"/>
            <w:bottom w:w="0" w:type="dxa"/>
            <w:right w:w="0" w:type="dxa"/>
          </w:tblCellMar>
        </w:tblPrEx>
        <w:trPr>
          <w:trHeight w:val="90" w:hRule="atLeast"/>
        </w:trPr>
        <w:tc>
          <w:tcPr>
            <w:tcW w:w="9587" w:type="dxa"/>
            <w:gridSpan w:val="5"/>
            <w:tcBorders>
              <w:top w:val="nil"/>
              <w:left w:val="single" w:color="000000" w:sz="8" w:space="0"/>
              <w:bottom w:val="single" w:color="000000" w:sz="8" w:space="0"/>
              <w:right w:val="single" w:color="000000" w:sz="8" w:space="0"/>
            </w:tcBorders>
            <w:shd w:val="clear" w:color="auto" w:fill="D8D8D8"/>
            <w:noWrap w:val="0"/>
            <w:tcMar>
              <w:top w:w="15" w:type="dxa"/>
              <w:left w:w="15" w:type="dxa"/>
              <w:right w:w="15" w:type="dxa"/>
            </w:tcMar>
            <w:vAlign w:val="center"/>
          </w:tcPr>
          <w:p>
            <w:pPr>
              <w:keepNext w:val="0"/>
              <w:keepLines w:val="0"/>
              <w:widowControl/>
              <w:suppressLineNumbers w:val="0"/>
              <w:ind w:firstLine="4620" w:firstLineChars="210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平台硬件设备</w:t>
            </w:r>
          </w:p>
        </w:tc>
      </w:tr>
      <w:tr>
        <w:tblPrEx>
          <w:tblCellMar>
            <w:top w:w="0" w:type="dxa"/>
            <w:left w:w="0" w:type="dxa"/>
            <w:bottom w:w="0" w:type="dxa"/>
            <w:right w:w="0" w:type="dxa"/>
          </w:tblCellMar>
        </w:tblPrEx>
        <w:trPr>
          <w:trHeight w:val="313" w:hRule="atLeast"/>
        </w:trPr>
        <w:tc>
          <w:tcPr>
            <w:tcW w:w="696"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2047"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平台建设WEB服务器</w:t>
            </w:r>
          </w:p>
        </w:tc>
        <w:tc>
          <w:tcPr>
            <w:tcW w:w="5413"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both"/>
              <w:textAlignment w:val="top"/>
              <w:rPr>
                <w:rFonts w:hint="eastAsia"/>
                <w:color w:val="auto"/>
                <w:sz w:val="22"/>
                <w:szCs w:val="22"/>
                <w:highlight w:val="none"/>
                <w:lang w:val="en-US" w:eastAsia="zh-CN"/>
              </w:rPr>
            </w:pPr>
            <w:r>
              <w:rPr>
                <w:rFonts w:hint="eastAsia"/>
                <w:color w:val="auto"/>
                <w:sz w:val="22"/>
                <w:szCs w:val="22"/>
                <w:highlight w:val="none"/>
                <w:lang w:val="en-US" w:eastAsia="zh-CN"/>
              </w:rPr>
              <w:t>1、规格：机架式服务器；</w:t>
            </w:r>
          </w:p>
          <w:p>
            <w:pPr>
              <w:keepNext w:val="0"/>
              <w:keepLines w:val="0"/>
              <w:widowControl/>
              <w:suppressLineNumbers w:val="0"/>
              <w:jc w:val="both"/>
              <w:textAlignment w:val="top"/>
              <w:rPr>
                <w:rFonts w:hint="eastAsia"/>
                <w:color w:val="auto"/>
                <w:sz w:val="22"/>
                <w:szCs w:val="22"/>
                <w:highlight w:val="none"/>
              </w:rPr>
            </w:pPr>
            <w:r>
              <w:rPr>
                <w:rFonts w:hint="eastAsia"/>
                <w:color w:val="auto"/>
                <w:sz w:val="22"/>
                <w:szCs w:val="22"/>
                <w:highlight w:val="none"/>
                <w:lang w:val="en-US" w:eastAsia="zh-CN"/>
              </w:rPr>
              <w:t>2、处理器： 2*英特尔® 至强® 银牌4210；</w:t>
            </w:r>
          </w:p>
          <w:p>
            <w:pPr>
              <w:keepNext w:val="0"/>
              <w:keepLines w:val="0"/>
              <w:widowControl/>
              <w:suppressLineNumbers w:val="0"/>
              <w:jc w:val="left"/>
              <w:textAlignment w:val="top"/>
              <w:rPr>
                <w:rFonts w:hint="eastAsia"/>
                <w:color w:val="auto"/>
                <w:sz w:val="22"/>
                <w:szCs w:val="22"/>
                <w:highlight w:val="none"/>
              </w:rPr>
            </w:pPr>
            <w:r>
              <w:rPr>
                <w:rFonts w:hint="eastAsia"/>
                <w:color w:val="auto"/>
                <w:sz w:val="22"/>
                <w:szCs w:val="22"/>
                <w:highlight w:val="none"/>
                <w:lang w:val="en-US" w:eastAsia="zh-CN"/>
              </w:rPr>
              <w:t>3、内存： ≥64GB ECC DDR4 2933MT/s内存，板载 20个内存插槽；</w:t>
            </w:r>
          </w:p>
          <w:p>
            <w:pPr>
              <w:keepNext w:val="0"/>
              <w:keepLines w:val="0"/>
              <w:widowControl/>
              <w:suppressLineNumbers w:val="0"/>
              <w:jc w:val="both"/>
              <w:textAlignment w:val="top"/>
              <w:rPr>
                <w:rFonts w:hint="eastAsia"/>
                <w:color w:val="auto"/>
                <w:sz w:val="22"/>
                <w:szCs w:val="22"/>
                <w:highlight w:val="none"/>
              </w:rPr>
            </w:pPr>
            <w:r>
              <w:rPr>
                <w:rFonts w:hint="eastAsia"/>
                <w:color w:val="auto"/>
                <w:sz w:val="22"/>
                <w:szCs w:val="22"/>
                <w:highlight w:val="none"/>
                <w:lang w:val="en-US" w:eastAsia="zh-CN"/>
              </w:rPr>
              <w:t>4、硬盘： 3*960G SATASSD热插拔硬盘；</w:t>
            </w:r>
          </w:p>
          <w:p>
            <w:pPr>
              <w:keepNext w:val="0"/>
              <w:keepLines w:val="0"/>
              <w:widowControl/>
              <w:suppressLineNumbers w:val="0"/>
              <w:jc w:val="left"/>
              <w:textAlignment w:val="top"/>
              <w:rPr>
                <w:rFonts w:hint="eastAsia"/>
                <w:color w:val="auto"/>
                <w:sz w:val="22"/>
                <w:szCs w:val="22"/>
                <w:highlight w:val="none"/>
                <w:lang w:val="en-US" w:eastAsia="zh-CN"/>
              </w:rPr>
            </w:pPr>
            <w:r>
              <w:rPr>
                <w:rFonts w:hint="eastAsia"/>
                <w:color w:val="auto"/>
                <w:sz w:val="22"/>
                <w:szCs w:val="22"/>
                <w:highlight w:val="none"/>
                <w:lang w:val="en-US" w:eastAsia="zh-CN"/>
              </w:rPr>
              <w:t>5、服务器≥16个热插拔SATA/SAS/SSD接口硬盘；</w:t>
            </w:r>
          </w:p>
          <w:p>
            <w:pPr>
              <w:keepNext w:val="0"/>
              <w:keepLines w:val="0"/>
              <w:widowControl/>
              <w:suppressLineNumbers w:val="0"/>
              <w:jc w:val="left"/>
              <w:textAlignment w:val="top"/>
              <w:rPr>
                <w:rFonts w:hint="eastAsia"/>
                <w:color w:val="auto"/>
                <w:sz w:val="22"/>
                <w:szCs w:val="22"/>
                <w:highlight w:val="none"/>
                <w:lang w:val="en-US" w:eastAsia="zh-CN"/>
              </w:rPr>
            </w:pPr>
            <w:r>
              <w:rPr>
                <w:rFonts w:hint="eastAsia"/>
                <w:color w:val="auto"/>
                <w:sz w:val="22"/>
                <w:szCs w:val="22"/>
                <w:highlight w:val="none"/>
                <w:lang w:val="en-US" w:eastAsia="zh-CN"/>
              </w:rPr>
              <w:t>6、RAID 功能：独立 2G 缓存 RAID 卡。Raid1/0/10/5/6/50/60 级别；</w:t>
            </w:r>
          </w:p>
          <w:p>
            <w:pPr>
              <w:keepNext w:val="0"/>
              <w:keepLines w:val="0"/>
              <w:widowControl/>
              <w:suppressLineNumbers w:val="0"/>
              <w:jc w:val="left"/>
              <w:textAlignment w:val="top"/>
              <w:rPr>
                <w:rFonts w:hint="eastAsia"/>
                <w:color w:val="auto"/>
                <w:sz w:val="22"/>
                <w:szCs w:val="22"/>
                <w:highlight w:val="none"/>
              </w:rPr>
            </w:pPr>
            <w:r>
              <w:rPr>
                <w:rFonts w:hint="eastAsia"/>
                <w:color w:val="auto"/>
                <w:sz w:val="22"/>
                <w:szCs w:val="22"/>
                <w:highlight w:val="none"/>
                <w:lang w:val="en-US" w:eastAsia="zh-CN"/>
              </w:rPr>
              <w:t>7、网卡：集成至少4个高性能千兆以太网控制器，支持虚拟化加速、网络加速、负载均衡、冗余等高级功能；</w:t>
            </w:r>
          </w:p>
          <w:p>
            <w:pPr>
              <w:keepNext w:val="0"/>
              <w:keepLines w:val="0"/>
              <w:widowControl/>
              <w:suppressLineNumbers w:val="0"/>
              <w:jc w:val="both"/>
              <w:textAlignment w:val="top"/>
              <w:rPr>
                <w:rFonts w:hint="eastAsia"/>
                <w:color w:val="auto"/>
                <w:sz w:val="22"/>
                <w:szCs w:val="22"/>
                <w:highlight w:val="none"/>
              </w:rPr>
            </w:pPr>
            <w:r>
              <w:rPr>
                <w:rFonts w:hint="eastAsia"/>
                <w:color w:val="auto"/>
                <w:sz w:val="22"/>
                <w:szCs w:val="22"/>
                <w:highlight w:val="none"/>
                <w:lang w:val="en-US" w:eastAsia="zh-CN"/>
              </w:rPr>
              <w:t>8、电源： 1+1 冗余电源热插拔电源≥750W；</w:t>
            </w:r>
          </w:p>
          <w:p>
            <w:pPr>
              <w:keepNext w:val="0"/>
              <w:keepLines w:val="0"/>
              <w:widowControl/>
              <w:suppressLineNumbers w:val="0"/>
              <w:jc w:val="both"/>
              <w:textAlignment w:val="top"/>
              <w:rPr>
                <w:rFonts w:hint="eastAsia"/>
                <w:color w:val="auto"/>
                <w:sz w:val="22"/>
                <w:szCs w:val="22"/>
                <w:highlight w:val="none"/>
              </w:rPr>
            </w:pPr>
            <w:r>
              <w:rPr>
                <w:rFonts w:hint="eastAsia"/>
                <w:color w:val="auto"/>
                <w:sz w:val="22"/>
                <w:szCs w:val="22"/>
                <w:highlight w:val="none"/>
                <w:lang w:val="en-US" w:eastAsia="zh-CN"/>
              </w:rPr>
              <w:t>9、管理功能：集成系统管理芯片，支持NM3.0、 SNMP3.0 标准，支持服务器管理、部署软件；标配高级授权；</w:t>
            </w:r>
          </w:p>
          <w:p>
            <w:pPr>
              <w:keepNext w:val="0"/>
              <w:keepLines w:val="0"/>
              <w:widowControl/>
              <w:suppressLineNumbers w:val="0"/>
              <w:jc w:val="both"/>
              <w:textAlignment w:val="top"/>
              <w:rPr>
                <w:rFonts w:hint="default"/>
                <w:color w:val="auto"/>
                <w:sz w:val="22"/>
                <w:szCs w:val="22"/>
                <w:highlight w:val="none"/>
                <w:lang w:val="en-US"/>
              </w:rPr>
            </w:pPr>
            <w:r>
              <w:rPr>
                <w:rFonts w:hint="eastAsia"/>
                <w:color w:val="auto"/>
                <w:sz w:val="22"/>
                <w:szCs w:val="22"/>
                <w:highlight w:val="none"/>
                <w:lang w:val="en-US" w:eastAsia="zh-CN"/>
              </w:rPr>
              <w:t>10、因医院机房管理要求，服务器标配后理线臂，用于机柜线缆整理和在线维护；</w:t>
            </w:r>
          </w:p>
        </w:tc>
        <w:tc>
          <w:tcPr>
            <w:tcW w:w="708"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4358" w:hRule="atLeast"/>
        </w:trPr>
        <w:tc>
          <w:tcPr>
            <w:tcW w:w="696"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2047"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数据库服务器硬件</w:t>
            </w:r>
          </w:p>
        </w:tc>
        <w:tc>
          <w:tcPr>
            <w:tcW w:w="5413"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1、规格：2U机架式服务器；</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2、处理器：2颗英特尔® 至强® 银牌4210</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3、内存： ≥64GB ECC DDR4 2933MT/s内存，板载 20个内存插槽；</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4、硬盘： 3*960G SATASSD热插拔硬盘；</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5、服务器≥16 个16 个热插拔 SATA/SAS/SSD接口硬盘；</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 xml:space="preserve">6、RAID 功能：独立 2G 缓存 RAID 卡，Raid1/0/10/5/6/50/60 级别； </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7、网卡：集成 2 高性能千兆以太网控制器，支持虚拟化加速、网络加速、负载均衡、冗余等高级功能；</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8、电源： 1+1 冗余电源热插拔电源≥750W；</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9、管理功能：集成系统管理芯片，支持NM3.0、 SNMP3.0 标准，支持服务器管理、部署软件；标配高级授权；</w:t>
            </w:r>
          </w:p>
          <w:p>
            <w:pPr>
              <w:keepNext w:val="0"/>
              <w:keepLines w:val="0"/>
              <w:widowControl/>
              <w:suppressLineNumbers w:val="0"/>
              <w:jc w:val="left"/>
              <w:textAlignment w:val="top"/>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w:t>
            </w:r>
            <w:r>
              <w:rPr>
                <w:rFonts w:hint="eastAsia"/>
                <w:color w:val="auto"/>
                <w:sz w:val="22"/>
                <w:szCs w:val="22"/>
                <w:highlight w:val="none"/>
                <w:lang w:val="en-US" w:eastAsia="zh-CN"/>
              </w:rPr>
              <w:t>因医院机房管理要求，服务器标配后理线臂，用于机柜线缆整理和在线维护；</w:t>
            </w:r>
          </w:p>
        </w:tc>
        <w:tc>
          <w:tcPr>
            <w:tcW w:w="708"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sz w:val="22"/>
                <w:szCs w:val="22"/>
                <w:highlight w:val="none"/>
                <w:u w:val="none"/>
                <w:lang w:val="en-US" w:eastAsia="zh-CN"/>
              </w:rPr>
              <w:t>套</w:t>
            </w:r>
          </w:p>
        </w:tc>
      </w:tr>
      <w:tr>
        <w:tblPrEx>
          <w:tblCellMar>
            <w:top w:w="0" w:type="dxa"/>
            <w:left w:w="0" w:type="dxa"/>
            <w:bottom w:w="0" w:type="dxa"/>
            <w:right w:w="0" w:type="dxa"/>
          </w:tblCellMar>
        </w:tblPrEx>
        <w:trPr>
          <w:trHeight w:val="1595" w:hRule="atLeast"/>
        </w:trPr>
        <w:tc>
          <w:tcPr>
            <w:tcW w:w="696"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p>
        </w:tc>
        <w:tc>
          <w:tcPr>
            <w:tcW w:w="2047"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交换机要求</w:t>
            </w:r>
          </w:p>
        </w:tc>
        <w:tc>
          <w:tcPr>
            <w:tcW w:w="5413"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1、整机交换容量≥256Gbps，二层包转发率≥95Mpps；</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2、提供千兆电接口≥24 个，千兆光接口≥4个， Micro USB 调试接口≥1 个， Reset 按键≥ 1个；</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3、支持 DHCP SERVER,支持静态路由、 RIPV1/V2，动态路由；</w:t>
            </w:r>
          </w:p>
          <w:p>
            <w:pPr>
              <w:keepNext w:val="0"/>
              <w:keepLines w:val="0"/>
              <w:widowControl/>
              <w:suppressLineNumbers w:val="0"/>
              <w:jc w:val="left"/>
              <w:textAlignment w:val="top"/>
              <w:rPr>
                <w:rFonts w:hint="eastAsia" w:ascii="宋体" w:hAnsi="宋体" w:eastAsia="宋体" w:cs="宋体"/>
                <w:i w:val="0"/>
                <w:color w:val="auto"/>
                <w:sz w:val="22"/>
                <w:szCs w:val="22"/>
                <w:highlight w:val="none"/>
                <w:u w:val="none"/>
              </w:rPr>
            </w:pPr>
            <w:r>
              <w:rPr>
                <w:rFonts w:hint="eastAsia" w:eastAsia="宋体" w:cs="宋体"/>
                <w:i w:val="0"/>
                <w:color w:val="auto"/>
                <w:kern w:val="0"/>
                <w:sz w:val="22"/>
                <w:szCs w:val="22"/>
                <w:highlight w:val="none"/>
                <w:u w:val="none"/>
                <w:lang w:val="en-US" w:eastAsia="zh-CN" w:bidi="ar"/>
              </w:rPr>
              <w:t>4</w:t>
            </w:r>
            <w:r>
              <w:rPr>
                <w:rFonts w:hint="eastAsia" w:ascii="宋体" w:hAnsi="宋体" w:eastAsia="宋体" w:cs="宋体"/>
                <w:i w:val="0"/>
                <w:color w:val="auto"/>
                <w:kern w:val="0"/>
                <w:sz w:val="22"/>
                <w:szCs w:val="22"/>
                <w:highlight w:val="none"/>
                <w:u w:val="none"/>
                <w:lang w:val="en-US" w:eastAsia="zh-CN" w:bidi="ar"/>
              </w:rPr>
              <w:t>、院方统一维护方便，</w:t>
            </w:r>
            <w:r>
              <w:rPr>
                <w:rFonts w:hint="eastAsia" w:eastAsia="宋体" w:cs="宋体"/>
                <w:i w:val="0"/>
                <w:color w:val="auto"/>
                <w:kern w:val="0"/>
                <w:sz w:val="22"/>
                <w:szCs w:val="22"/>
                <w:highlight w:val="none"/>
                <w:u w:val="none"/>
                <w:lang w:val="en-US" w:eastAsia="zh-CN" w:bidi="ar"/>
              </w:rPr>
              <w:t>中标后须</w:t>
            </w:r>
            <w:r>
              <w:rPr>
                <w:rFonts w:hint="eastAsia" w:ascii="宋体" w:hAnsi="宋体" w:eastAsia="宋体" w:cs="宋体"/>
                <w:i w:val="0"/>
                <w:color w:val="auto"/>
                <w:kern w:val="0"/>
                <w:sz w:val="22"/>
                <w:szCs w:val="22"/>
                <w:highlight w:val="none"/>
                <w:u w:val="none"/>
                <w:lang w:val="en-US" w:eastAsia="zh-CN" w:bidi="ar"/>
              </w:rPr>
              <w:t>与现有交换机对接，如无法与现有平台设备兼容，为接入平台而需增加的相关设备及软件均由中标人自行承担。</w:t>
            </w:r>
            <w:r>
              <w:rPr>
                <w:rFonts w:hint="eastAsia" w:ascii="宋体" w:hAnsi="宋体" w:eastAsia="宋体" w:cs="宋体"/>
                <w:b/>
                <w:color w:val="auto"/>
                <w:sz w:val="22"/>
                <w:szCs w:val="22"/>
                <w:highlight w:val="none"/>
                <w:u w:val="single"/>
              </w:rPr>
              <w:t>▲</w:t>
            </w:r>
          </w:p>
        </w:tc>
        <w:tc>
          <w:tcPr>
            <w:tcW w:w="708"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sz w:val="22"/>
                <w:szCs w:val="22"/>
                <w:highlight w:val="none"/>
                <w:u w:val="none"/>
                <w:lang w:val="en-US" w:eastAsia="zh-CN"/>
              </w:rPr>
              <w:t>套</w:t>
            </w:r>
          </w:p>
        </w:tc>
      </w:tr>
      <w:tr>
        <w:tblPrEx>
          <w:tblCellMar>
            <w:top w:w="0" w:type="dxa"/>
            <w:left w:w="0" w:type="dxa"/>
            <w:bottom w:w="0" w:type="dxa"/>
            <w:right w:w="0" w:type="dxa"/>
          </w:tblCellMar>
        </w:tblPrEx>
        <w:trPr>
          <w:trHeight w:val="485" w:hRule="atLeast"/>
        </w:trPr>
        <w:tc>
          <w:tcPr>
            <w:tcW w:w="9587" w:type="dxa"/>
            <w:gridSpan w:val="5"/>
            <w:tcBorders>
              <w:top w:val="single" w:color="000000" w:sz="8" w:space="0"/>
              <w:left w:val="single" w:color="000000" w:sz="8" w:space="0"/>
              <w:bottom w:val="single" w:color="000000" w:sz="8" w:space="0"/>
              <w:right w:val="single" w:color="000000" w:sz="8" w:space="0"/>
            </w:tcBorders>
            <w:shd w:val="clear" w:color="auto" w:fill="D8D8D8"/>
            <w:noWrap w:val="0"/>
            <w:tcMar>
              <w:top w:w="15" w:type="dxa"/>
              <w:left w:w="15" w:type="dxa"/>
              <w:right w:w="15" w:type="dxa"/>
            </w:tcMar>
            <w:vAlign w:val="center"/>
          </w:tcPr>
          <w:p>
            <w:pPr>
              <w:keepNext w:val="0"/>
              <w:keepLines w:val="0"/>
              <w:widowControl/>
              <w:suppressLineNumbers w:val="0"/>
              <w:ind w:firstLineChars="20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展示中心设备</w:t>
            </w:r>
          </w:p>
        </w:tc>
      </w:tr>
      <w:tr>
        <w:tblPrEx>
          <w:tblCellMar>
            <w:top w:w="0" w:type="dxa"/>
            <w:left w:w="0" w:type="dxa"/>
            <w:bottom w:w="0" w:type="dxa"/>
            <w:right w:w="0" w:type="dxa"/>
          </w:tblCellMar>
        </w:tblPrEx>
        <w:trPr>
          <w:trHeight w:val="812" w:hRule="atLeast"/>
        </w:trPr>
        <w:tc>
          <w:tcPr>
            <w:tcW w:w="696" w:type="dxa"/>
            <w:tcBorders>
              <w:top w:val="nil"/>
              <w:left w:val="single" w:color="000000" w:sz="8" w:space="0"/>
              <w:bottom w:val="single" w:color="000000" w:sz="8"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3*3 拼接屏</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1、46英寸LCD，分辨率1920*1080；</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2、3.5mm间隙；</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3、响应时间≤6ms,亮度700cd/m2,对比度4000:1 ；</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525" w:hRule="atLeast"/>
        </w:trPr>
        <w:tc>
          <w:tcPr>
            <w:tcW w:w="696" w:type="dxa"/>
            <w:tcBorders>
              <w:top w:val="nil"/>
              <w:left w:val="single" w:color="000000" w:sz="8" w:space="0"/>
              <w:bottom w:val="single" w:color="000000" w:sz="8"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拼接屏矩阵控制器</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至少1-8路输入，9路输出</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1124" w:hRule="atLeast"/>
        </w:trPr>
        <w:tc>
          <w:tcPr>
            <w:tcW w:w="696" w:type="dxa"/>
            <w:tcBorders>
              <w:top w:val="nil"/>
              <w:left w:val="single" w:color="000000" w:sz="8" w:space="0"/>
              <w:bottom w:val="single" w:color="000000" w:sz="8"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拼接屏控制一体化触摸屏计算机</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1、处理器</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2、≥8G运行内存</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3、≥120G固态硬盘</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4、32英寸触摸显示器</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525" w:hRule="atLeast"/>
        </w:trPr>
        <w:tc>
          <w:tcPr>
            <w:tcW w:w="696" w:type="dxa"/>
            <w:tcBorders>
              <w:top w:val="nil"/>
              <w:left w:val="single" w:color="000000" w:sz="8" w:space="0"/>
              <w:bottom w:val="single" w:color="000000" w:sz="8"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4</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平台操作计算机</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top"/>
              <w:rPr>
                <w:rFonts w:hint="default"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（i5-9400\8G\120G\</w:t>
            </w:r>
            <w:r>
              <w:rPr>
                <w:rFonts w:hint="eastAsia" w:eastAsia="宋体" w:cs="宋体"/>
                <w:i w:val="0"/>
                <w:color w:val="auto"/>
                <w:kern w:val="0"/>
                <w:sz w:val="22"/>
                <w:szCs w:val="22"/>
                <w:highlight w:val="none"/>
                <w:u w:val="none"/>
                <w:lang w:val="en-US" w:eastAsia="zh-CN" w:bidi="ar"/>
              </w:rPr>
              <w:t>固态</w:t>
            </w:r>
            <w:r>
              <w:rPr>
                <w:rFonts w:hint="eastAsia" w:ascii="宋体" w:hAnsi="宋体" w:eastAsia="宋体" w:cs="宋体"/>
                <w:i w:val="0"/>
                <w:color w:val="auto"/>
                <w:kern w:val="0"/>
                <w:sz w:val="22"/>
                <w:szCs w:val="22"/>
                <w:highlight w:val="none"/>
                <w:u w:val="none"/>
                <w:lang w:val="en-US" w:eastAsia="zh-CN" w:bidi="ar"/>
              </w:rPr>
              <w:t>）</w:t>
            </w:r>
            <w:r>
              <w:rPr>
                <w:rFonts w:hint="eastAsia" w:eastAsia="宋体" w:cs="宋体"/>
                <w:i w:val="0"/>
                <w:color w:val="auto"/>
                <w:kern w:val="0"/>
                <w:sz w:val="22"/>
                <w:szCs w:val="22"/>
                <w:highlight w:val="none"/>
                <w:u w:val="none"/>
                <w:lang w:val="en-US" w:eastAsia="zh-CN" w:bidi="ar"/>
              </w:rPr>
              <w:t>2G 独显</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525" w:hRule="atLeast"/>
        </w:trPr>
        <w:tc>
          <w:tcPr>
            <w:tcW w:w="696" w:type="dxa"/>
            <w:tcBorders>
              <w:top w:val="nil"/>
              <w:left w:val="single" w:color="000000" w:sz="8"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5</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维修接单计算机</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（i5-9400\8G\120G\</w:t>
            </w:r>
            <w:r>
              <w:rPr>
                <w:rFonts w:hint="eastAsia" w:eastAsia="宋体" w:cs="宋体"/>
                <w:i w:val="0"/>
                <w:color w:val="auto"/>
                <w:kern w:val="0"/>
                <w:sz w:val="22"/>
                <w:szCs w:val="22"/>
                <w:highlight w:val="none"/>
                <w:u w:val="none"/>
                <w:lang w:val="en-US" w:eastAsia="zh-CN" w:bidi="ar"/>
              </w:rPr>
              <w:t>固态</w:t>
            </w:r>
            <w:r>
              <w:rPr>
                <w:rFonts w:hint="eastAsia" w:ascii="宋体" w:hAnsi="宋体" w:eastAsia="宋体" w:cs="宋体"/>
                <w:i w:val="0"/>
                <w:color w:val="auto"/>
                <w:kern w:val="0"/>
                <w:sz w:val="22"/>
                <w:szCs w:val="22"/>
                <w:highlight w:val="none"/>
                <w:u w:val="none"/>
                <w:lang w:val="en-US" w:eastAsia="zh-CN" w:bidi="ar"/>
              </w:rPr>
              <w:t>）</w:t>
            </w:r>
            <w:r>
              <w:rPr>
                <w:rFonts w:hint="eastAsia" w:eastAsia="宋体" w:cs="宋体"/>
                <w:i w:val="0"/>
                <w:color w:val="auto"/>
                <w:kern w:val="0"/>
                <w:sz w:val="22"/>
                <w:szCs w:val="22"/>
                <w:highlight w:val="none"/>
                <w:u w:val="none"/>
                <w:lang w:val="en-US" w:eastAsia="zh-CN" w:bidi="ar"/>
              </w:rPr>
              <w:t>2G 独显</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85" w:hRule="atLeast"/>
        </w:trPr>
        <w:tc>
          <w:tcPr>
            <w:tcW w:w="696"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序号</w:t>
            </w:r>
          </w:p>
        </w:tc>
        <w:tc>
          <w:tcPr>
            <w:tcW w:w="2047"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center"/>
          </w:tcPr>
          <w:p>
            <w:pPr>
              <w:keepNext w:val="0"/>
              <w:keepLines w:val="0"/>
              <w:widowControl/>
              <w:suppressLineNumbers w:val="0"/>
              <w:ind w:firstLineChars="20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项目名称</w:t>
            </w:r>
          </w:p>
        </w:tc>
        <w:tc>
          <w:tcPr>
            <w:tcW w:w="5413"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技术要求</w:t>
            </w:r>
          </w:p>
        </w:tc>
        <w:tc>
          <w:tcPr>
            <w:tcW w:w="708"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数量</w:t>
            </w:r>
          </w:p>
        </w:tc>
        <w:tc>
          <w:tcPr>
            <w:tcW w:w="723"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单位</w:t>
            </w:r>
          </w:p>
        </w:tc>
      </w:tr>
      <w:tr>
        <w:tblPrEx>
          <w:tblCellMar>
            <w:top w:w="0" w:type="dxa"/>
            <w:left w:w="0" w:type="dxa"/>
            <w:bottom w:w="0" w:type="dxa"/>
            <w:right w:w="0" w:type="dxa"/>
          </w:tblCellMar>
        </w:tblPrEx>
        <w:trPr>
          <w:trHeight w:val="285" w:hRule="atLeast"/>
        </w:trPr>
        <w:tc>
          <w:tcPr>
            <w:tcW w:w="9587" w:type="dxa"/>
            <w:gridSpan w:val="5"/>
            <w:tcBorders>
              <w:top w:val="single" w:color="auto" w:sz="4" w:space="0"/>
              <w:left w:val="single" w:color="auto" w:sz="4" w:space="0"/>
              <w:bottom w:val="single" w:color="auto" w:sz="4" w:space="0"/>
              <w:right w:val="single" w:color="auto" w:sz="4" w:space="0"/>
            </w:tcBorders>
            <w:shd w:val="clear" w:color="auto" w:fill="D8D8D8"/>
            <w:noWrap w:val="0"/>
            <w:tcMar>
              <w:top w:w="15" w:type="dxa"/>
              <w:left w:w="15" w:type="dxa"/>
              <w:right w:w="15" w:type="dxa"/>
            </w:tcMar>
            <w:vAlign w:val="center"/>
          </w:tcPr>
          <w:p>
            <w:pPr>
              <w:keepNext w:val="0"/>
              <w:keepLines w:val="0"/>
              <w:widowControl/>
              <w:suppressLineNumbers w:val="0"/>
              <w:ind w:firstLineChars="1300"/>
              <w:jc w:val="both"/>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业务科室分项分户计量主要材料要求</w:t>
            </w:r>
          </w:p>
        </w:tc>
      </w:tr>
      <w:tr>
        <w:tblPrEx>
          <w:tblCellMar>
            <w:top w:w="0" w:type="dxa"/>
            <w:left w:w="0" w:type="dxa"/>
            <w:bottom w:w="0" w:type="dxa"/>
            <w:right w:w="0" w:type="dxa"/>
          </w:tblCellMar>
        </w:tblPrEx>
        <w:trPr>
          <w:trHeight w:val="1829" w:hRule="atLeast"/>
        </w:trPr>
        <w:tc>
          <w:tcPr>
            <w:tcW w:w="69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计量电表</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★1、具有正反向有功总电度，三相电压、三相电流、三相功率、三相功率因数等实时参量测量功能；</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★2、计量精度：有功 0.5级；</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3、极限工作温度：-20℃~+60℃</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4、具有 RS-485 通信接口；</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5、支持包括但不限于DL/T645-1997（2007）或Modbus-RTU通信协议。</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100</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r>
      <w:tr>
        <w:tblPrEx>
          <w:tblCellMar>
            <w:top w:w="0" w:type="dxa"/>
            <w:left w:w="0" w:type="dxa"/>
            <w:bottom w:w="0" w:type="dxa"/>
            <w:right w:w="0" w:type="dxa"/>
          </w:tblCellMar>
        </w:tblPrEx>
        <w:trPr>
          <w:trHeight w:val="2870" w:hRule="atLeast"/>
        </w:trPr>
        <w:tc>
          <w:tcPr>
            <w:tcW w:w="69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远程水表</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1、降低部署成本。</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w:t>
            </w:r>
            <w:r>
              <w:rPr>
                <w:rFonts w:hint="eastAsia" w:ascii="宋体" w:hAnsi="宋体" w:eastAsia="宋体" w:cs="宋体"/>
                <w:i w:val="0"/>
                <w:color w:val="auto"/>
                <w:kern w:val="0"/>
                <w:sz w:val="22"/>
                <w:szCs w:val="22"/>
                <w:highlight w:val="none"/>
                <w:u w:val="none"/>
                <w:lang w:val="en-US" w:eastAsia="zh-CN" w:bidi="ar"/>
              </w:rPr>
              <w:t>2、远传水表一次抄读成功率要求不小于99%；总差错率要求不大于1%。远传水表应能人工抄读。</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w:t>
            </w:r>
            <w:r>
              <w:rPr>
                <w:rFonts w:hint="eastAsia" w:ascii="宋体" w:hAnsi="宋体" w:eastAsia="宋体" w:cs="宋体"/>
                <w:i w:val="0"/>
                <w:color w:val="auto"/>
                <w:kern w:val="0"/>
                <w:sz w:val="22"/>
                <w:szCs w:val="22"/>
                <w:highlight w:val="none"/>
                <w:u w:val="none"/>
                <w:lang w:val="en-US" w:eastAsia="zh-CN" w:bidi="ar"/>
              </w:rPr>
              <w:t>3、远传传感设备、电子部分设备不得破坏基表结构，不得影响人工抄读，并满足《JJG-162-2009冷水水表检测规程》中水表检定的相关规定。采用覆盖广、连接多、速率快、成本低、功耗低、容量大、架构优等特点的物联网无线传输技术（包含但不限于NB-IoT、eMTC、LoRaWan等技术，传输速率0.3-100kbps，频段处于0-1GHz，不限运营商），实现将院内安装的无线远传水表通过无线传输的方式，上传到管理平台上。</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72</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r>
      <w:tr>
        <w:tblPrEx>
          <w:tblCellMar>
            <w:top w:w="0" w:type="dxa"/>
            <w:left w:w="0" w:type="dxa"/>
            <w:bottom w:w="0" w:type="dxa"/>
            <w:right w:w="0" w:type="dxa"/>
          </w:tblCellMar>
        </w:tblPrEx>
        <w:trPr>
          <w:trHeight w:val="645" w:hRule="atLeast"/>
        </w:trPr>
        <w:tc>
          <w:tcPr>
            <w:tcW w:w="69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数据采集器</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1、远程传输接口：支持有线通信模式（ADSL等）或无线通讯模式（GPRS/CDMA无线通讯）；</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★2、采集接口：具备至少4个可独立配置采集接口(采集接口为RS485接口)，具备至少1个RJ45接口，用于数据上传和本地维护；</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3、波特率：支持300~115200bps；</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4、采集点：每路RS485接口支持32个数据采集点；总支持数128个数据采集点；</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5、通讯协议：支持DLT645-1997/2007、CJ/T 188-2004、ModBus-RTU协议，支持用户协议扩展；</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6、支持断点续传，保持数据完整性；</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7、内置 Flash 能够可靠保存 6-12 个月的历史数据，可扩展 4~32G SD 卡；</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8、掉电后数据不丢失；</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9、工作电源：交流220V±10%，电源功率小于10W；</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10、工作温湿度：-10～+50℃；&lt;95% 无凝结露。</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11、环境条件：无腐蚀、可燃性气体和导电性尘埃；</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★12、所投数据采集器设备通过专业检测机构电磁兼容测试，且通过平均无故障连续运行时间（MTBF）不小于60天的测试；</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r>
    </w:tbl>
    <w:p>
      <w:pPr>
        <w:numPr>
          <w:ilvl w:val="0"/>
          <w:numId w:val="0"/>
        </w:numPr>
        <w:spacing w:line="320" w:lineRule="exact"/>
        <w:ind w:left="400" w:leftChars="0"/>
        <w:rPr>
          <w:rFonts w:hint="default" w:ascii="新宋体" w:hAnsi="新宋体" w:eastAsia="新宋体" w:cs="Times New Roman"/>
          <w:color w:val="auto"/>
          <w:sz w:val="22"/>
          <w:szCs w:val="22"/>
          <w:highlight w:val="none"/>
          <w:lang w:val="en-US" w:eastAsia="zh-CN"/>
        </w:rPr>
      </w:pPr>
      <w:r>
        <w:rPr>
          <w:rFonts w:hint="eastAsia" w:ascii="新宋体" w:hAnsi="新宋体" w:eastAsia="新宋体" w:cs="Times New Roman"/>
          <w:color w:val="auto"/>
          <w:sz w:val="22"/>
          <w:szCs w:val="22"/>
          <w:highlight w:val="none"/>
          <w:lang w:val="en-US" w:eastAsia="zh-CN"/>
        </w:rPr>
        <w:t>②</w:t>
      </w:r>
      <w:r>
        <w:rPr>
          <w:rFonts w:hint="eastAsia" w:ascii="新宋体" w:hAnsi="新宋体" w:eastAsia="新宋体" w:cs="Times New Roman"/>
          <w:color w:val="auto"/>
          <w:sz w:val="22"/>
          <w:szCs w:val="22"/>
          <w:highlight w:val="none"/>
        </w:rPr>
        <w:t>中央空调</w:t>
      </w:r>
      <w:r>
        <w:rPr>
          <w:rFonts w:hint="eastAsia" w:ascii="新宋体" w:hAnsi="新宋体" w:eastAsia="新宋体" w:cs="Times New Roman"/>
          <w:color w:val="auto"/>
          <w:sz w:val="22"/>
          <w:szCs w:val="22"/>
          <w:highlight w:val="none"/>
          <w:lang w:val="en-US" w:eastAsia="zh-CN"/>
        </w:rPr>
        <w:t>节能改造系统设备清单</w:t>
      </w:r>
    </w:p>
    <w:tbl>
      <w:tblPr>
        <w:tblStyle w:val="21"/>
        <w:tblW w:w="5435" w:type="pct"/>
        <w:tblInd w:w="-200" w:type="dxa"/>
        <w:tblLayout w:type="fixed"/>
        <w:tblCellMar>
          <w:top w:w="0" w:type="dxa"/>
          <w:left w:w="0" w:type="dxa"/>
          <w:bottom w:w="0" w:type="dxa"/>
          <w:right w:w="0" w:type="dxa"/>
        </w:tblCellMar>
      </w:tblPr>
      <w:tblGrid>
        <w:gridCol w:w="737"/>
        <w:gridCol w:w="1839"/>
        <w:gridCol w:w="550"/>
        <w:gridCol w:w="687"/>
        <w:gridCol w:w="6203"/>
      </w:tblGrid>
      <w:tr>
        <w:tblPrEx>
          <w:tblCellMar>
            <w:top w:w="0" w:type="dxa"/>
            <w:left w:w="0" w:type="dxa"/>
            <w:bottom w:w="0" w:type="dxa"/>
            <w:right w:w="0" w:type="dxa"/>
          </w:tblCellMar>
        </w:tblPrEx>
        <w:trPr>
          <w:trHeight w:val="6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序号</w:t>
            </w:r>
          </w:p>
        </w:tc>
        <w:tc>
          <w:tcPr>
            <w:tcW w:w="918"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设备名称</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单位</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数量</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ind w:firstLine="1767" w:firstLineChars="800"/>
              <w:textAlignment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备注</w:t>
            </w:r>
          </w:p>
        </w:tc>
      </w:tr>
      <w:tr>
        <w:tblPrEx>
          <w:tblCellMar>
            <w:top w:w="0" w:type="dxa"/>
            <w:left w:w="0" w:type="dxa"/>
            <w:bottom w:w="0" w:type="dxa"/>
            <w:right w:w="0" w:type="dxa"/>
          </w:tblCellMar>
        </w:tblPrEx>
        <w:trPr>
          <w:trHeight w:val="400" w:hRule="atLeast"/>
        </w:trPr>
        <w:tc>
          <w:tcPr>
            <w:tcW w:w="5000" w:type="pct"/>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tbl>
            <w:tblPr>
              <w:tblStyle w:val="21"/>
              <w:tblW w:w="10020" w:type="dxa"/>
              <w:tblInd w:w="0" w:type="dxa"/>
              <w:tblLayout w:type="fixed"/>
              <w:tblCellMar>
                <w:top w:w="0" w:type="dxa"/>
                <w:left w:w="0" w:type="dxa"/>
                <w:bottom w:w="0" w:type="dxa"/>
                <w:right w:w="0" w:type="dxa"/>
              </w:tblCellMar>
            </w:tblPr>
            <w:tblGrid>
              <w:gridCol w:w="10020"/>
            </w:tblGrid>
            <w:tr>
              <w:trPr>
                <w:trHeight w:val="405" w:hRule="atLeast"/>
              </w:trPr>
              <w:tc>
                <w:tcPr>
                  <w:tcW w:w="10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ind w:firstLine="3755" w:firstLineChars="1700"/>
                    <w:jc w:val="left"/>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一、中央工作站</w:t>
                  </w:r>
                </w:p>
              </w:tc>
            </w:tr>
          </w:tbl>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 </w:t>
            </w:r>
          </w:p>
        </w:tc>
      </w:tr>
      <w:tr>
        <w:tblPrEx>
          <w:tblCellMar>
            <w:top w:w="0" w:type="dxa"/>
            <w:left w:w="0" w:type="dxa"/>
            <w:bottom w:w="0" w:type="dxa"/>
            <w:right w:w="0" w:type="dxa"/>
          </w:tblCellMar>
        </w:tblPrEx>
        <w:trPr>
          <w:trHeight w:val="581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冷冻主机网关（不含厂家通讯卡）</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项</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6</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1</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★CPU工作温度为0-60 ℃，适应工业环境和电气干扰的环境下工作 ；</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2</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★控制器具备工业级高性能处理器，位处理速度不低于40纳秒，背板总线通讯速率不低于400Mbits；</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3</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符合IEC1131-3国际标准的灵活的编程语言支持，数据格式符合IEC1131国际标准。系统支持编程语言包含：梯形图、结构化文本、语句表、功能块等；支持可自动优化参数的PID等先进控制功能。</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4</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★采用OPC-UA、Modbus TCP/IP、EtherNet/IP或TCP/IP协议与上位机通讯，数据通讯速率100Mbps或以上。</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5</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控制器支持系统自诊断功能，可以监视到每一个模块和对应通道的实时系统诊断信息。发生故障时无需编程就可通过编程软件、人机界面、网络服务器等途径快速准确地识别受影响的通道。即使在控制器处于STOP状态时也能进行系统诊断。系统诊断不占用CPU的程序资源；</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6</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能提供1个以上10M/100M以太网接口以及符合国际和国家标准(IEEE…..)的各类接口（如PROFINET，Modbus TCP，标准TCP/IP，UDP协议等等），满足网络通讯以及控制器与就地设备通信的要求。控制器还应提供与手提计算机通信的接口，可以直接通过以太网接口下载程序。</w:t>
            </w:r>
          </w:p>
        </w:tc>
      </w:tr>
      <w:tr>
        <w:tblPrEx>
          <w:tblCellMar>
            <w:top w:w="0" w:type="dxa"/>
            <w:left w:w="0" w:type="dxa"/>
            <w:bottom w:w="0" w:type="dxa"/>
            <w:right w:w="0" w:type="dxa"/>
          </w:tblCellMar>
        </w:tblPrEx>
        <w:trPr>
          <w:trHeight w:val="40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D9D9D9"/>
            <w:noWrap/>
            <w:tcMar>
              <w:top w:w="15" w:type="dxa"/>
              <w:left w:w="15" w:type="dxa"/>
              <w:right w:w="15" w:type="dxa"/>
            </w:tcMar>
            <w:vAlign w:val="center"/>
          </w:tcPr>
          <w:p>
            <w:pPr>
              <w:jc w:val="center"/>
              <w:rPr>
                <w:rFonts w:hint="eastAsia" w:ascii="宋体" w:hAnsi="宋体" w:cs="宋体"/>
                <w:color w:val="auto"/>
                <w:sz w:val="22"/>
                <w:szCs w:val="22"/>
                <w:highlight w:val="none"/>
              </w:rPr>
            </w:pPr>
            <w:r>
              <w:rPr>
                <w:rFonts w:hint="eastAsia" w:ascii="宋体" w:hAnsi="宋体" w:cs="宋体"/>
                <w:b/>
                <w:color w:val="auto"/>
                <w:kern w:val="0"/>
                <w:sz w:val="22"/>
                <w:szCs w:val="22"/>
                <w:highlight w:val="none"/>
                <w:lang w:bidi="ar"/>
              </w:rPr>
              <w:t>二、现场PLC控制柜和硬件</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电动调节阀</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DN200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电动调节阀</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DN350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3</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电动旁通调节阀</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DN500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4</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电动旁通调节阀</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DN300</w:t>
            </w:r>
          </w:p>
        </w:tc>
      </w:tr>
      <w:tr>
        <w:trPr>
          <w:trHeight w:val="657"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5</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冷源机房PLC控制柜</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含CPU,IO模块、通讯模块、柜体，电源、变压器、快融保险丝、接线排子、继电器底座及单元、及内部接线等控制附件</w:t>
            </w:r>
          </w:p>
        </w:tc>
      </w:tr>
      <w:tr>
        <w:tblPrEx>
          <w:tblCellMar>
            <w:top w:w="0" w:type="dxa"/>
            <w:left w:w="0" w:type="dxa"/>
            <w:bottom w:w="0" w:type="dxa"/>
            <w:right w:w="0" w:type="dxa"/>
          </w:tblCellMar>
        </w:tblPrEx>
        <w:trPr>
          <w:trHeight w:val="592"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6</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冷却塔PLC控制柜</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含IO模块、通讯模块、柜体，电源、变压器、快融保险丝、接线排子、继电器底座及单元、及内部接线等控制附件</w:t>
            </w:r>
          </w:p>
        </w:tc>
      </w:tr>
      <w:tr>
        <w:tblPrEx>
          <w:tblCellMar>
            <w:top w:w="0" w:type="dxa"/>
            <w:left w:w="0" w:type="dxa"/>
            <w:bottom w:w="0" w:type="dxa"/>
            <w:right w:w="0" w:type="dxa"/>
          </w:tblCellMar>
        </w:tblPrEx>
        <w:trPr>
          <w:trHeight w:val="618"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7</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换热站PLC控制柜</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含IO模块、通讯模块、柜体，电源、变压器、快融保险丝、接线排子、继电器底座及单元、及内部接线等控制附件</w:t>
            </w:r>
          </w:p>
        </w:tc>
      </w:tr>
      <w:tr>
        <w:tblPrEx>
          <w:tblCellMar>
            <w:top w:w="0" w:type="dxa"/>
            <w:left w:w="0" w:type="dxa"/>
            <w:bottom w:w="0" w:type="dxa"/>
            <w:right w:w="0" w:type="dxa"/>
          </w:tblCellMar>
        </w:tblPrEx>
        <w:trPr>
          <w:trHeight w:val="568"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8</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空调箱控制柜</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10</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含IO模块、通讯模块、柜体，电源、变压器、快融保险丝、接线排子、继电器底座及单元、及内部接线等控制附件</w:t>
            </w:r>
          </w:p>
        </w:tc>
      </w:tr>
      <w:tr>
        <w:tblPrEx>
          <w:tblCellMar>
            <w:top w:w="0" w:type="dxa"/>
            <w:left w:w="0" w:type="dxa"/>
            <w:bottom w:w="0" w:type="dxa"/>
            <w:right w:w="0" w:type="dxa"/>
          </w:tblCellMar>
        </w:tblPrEx>
        <w:trPr>
          <w:trHeight w:val="400" w:hRule="atLeast"/>
        </w:trPr>
        <w:tc>
          <w:tcPr>
            <w:tcW w:w="5000" w:type="pct"/>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ind w:firstLine="3313" w:firstLineChars="1500"/>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三、传感器、执行器</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温度传感器</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24</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1）温度传感元件采用标度为Pt100铂电阻传感器。</w:t>
            </w:r>
            <w:r>
              <w:rPr>
                <w:rFonts w:hint="eastAsia" w:ascii="宋体" w:hAnsi="宋体"/>
                <w:color w:val="auto"/>
                <w:sz w:val="22"/>
                <w:szCs w:val="22"/>
                <w:highlight w:val="none"/>
              </w:rPr>
              <w:t>★</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2）温度范围:0℃—100℃；精度 :A级。</w:t>
            </w:r>
            <w:r>
              <w:rPr>
                <w:rFonts w:hint="eastAsia" w:ascii="宋体" w:hAnsi="宋体"/>
                <w:color w:val="auto"/>
                <w:sz w:val="22"/>
                <w:szCs w:val="22"/>
                <w:highlight w:val="none"/>
              </w:rPr>
              <w:t>★</w:t>
            </w:r>
          </w:p>
          <w:p>
            <w:pPr>
              <w:pStyle w:val="26"/>
              <w:adjustRightInd w:val="0"/>
              <w:spacing w:line="240" w:lineRule="auto"/>
              <w:ind w:firstLine="0" w:firstLineChars="0"/>
              <w:textAlignment w:val="baseline"/>
              <w:rPr>
                <w:rFonts w:ascii="Tahoma" w:hAnsi="Tahoma" w:eastAsia="Tahoma" w:cs="Tahoma"/>
                <w:color w:val="auto"/>
                <w:sz w:val="22"/>
                <w:szCs w:val="22"/>
                <w:highlight w:val="none"/>
              </w:rPr>
            </w:pPr>
            <w:r>
              <w:rPr>
                <w:rFonts w:hint="eastAsia" w:ascii="宋体" w:hAnsi="宋体" w:cs="宋体"/>
                <w:color w:val="auto"/>
                <w:kern w:val="0"/>
                <w:sz w:val="22"/>
                <w:szCs w:val="22"/>
                <w:highlight w:val="none"/>
                <w:lang w:bidi="ar"/>
              </w:rPr>
              <w:t>3）输出信号:4-20mA/0-10VDC。</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压力传感器</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1）电源： AC 24V or DC 18~33V</w:t>
            </w:r>
            <w:r>
              <w:rPr>
                <w:rFonts w:hint="eastAsia" w:ascii="宋体" w:hAnsi="宋体"/>
                <w:color w:val="auto"/>
                <w:sz w:val="22"/>
                <w:szCs w:val="22"/>
                <w:highlight w:val="none"/>
              </w:rPr>
              <w:t>★</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2）输出信号：4-20mA/0-10VDC</w:t>
            </w:r>
            <w:r>
              <w:rPr>
                <w:rFonts w:hint="eastAsia" w:ascii="宋体" w:hAnsi="宋体"/>
                <w:color w:val="auto"/>
                <w:sz w:val="22"/>
                <w:szCs w:val="22"/>
                <w:highlight w:val="none"/>
              </w:rPr>
              <w:t>★</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3）测量范围：0~20bar</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4）引压管： 外螺纹G1/2"</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5）时间常数：5ms</w:t>
            </w:r>
          </w:p>
          <w:p>
            <w:pPr>
              <w:pStyle w:val="26"/>
              <w:adjustRightInd w:val="0"/>
              <w:spacing w:line="240" w:lineRule="auto"/>
              <w:ind w:firstLine="0" w:firstLineChars="0"/>
              <w:textAlignment w:val="baseline"/>
              <w:rPr>
                <w:rFonts w:ascii="Tahoma" w:hAnsi="Tahoma" w:eastAsia="Tahoma" w:cs="Tahoma"/>
                <w:color w:val="auto"/>
                <w:sz w:val="22"/>
                <w:szCs w:val="22"/>
                <w:highlight w:val="none"/>
              </w:rPr>
            </w:pPr>
            <w:r>
              <w:rPr>
                <w:rFonts w:hint="eastAsia" w:ascii="宋体" w:hAnsi="宋体" w:cs="宋体"/>
                <w:color w:val="auto"/>
                <w:kern w:val="0"/>
                <w:sz w:val="22"/>
                <w:szCs w:val="22"/>
                <w:highlight w:val="none"/>
                <w:lang w:bidi="ar"/>
              </w:rPr>
              <w:t>6）防护等级：IP65</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3</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室外温湿度传感器含室外防辐射罩</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1）测量元件:湿敏电阻/湿敏电容、热敏电阻PT1000。</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2）温度范围:-50℃-50℃。★</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3）湿度范围:0-100%RH。</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4）精度:</w:t>
            </w:r>
            <w:r>
              <w:rPr>
                <w:rFonts w:hint="eastAsia" w:ascii="宋体" w:hAnsi="宋体" w:cs="宋体"/>
                <w:color w:val="auto"/>
                <w:kern w:val="0"/>
                <w:sz w:val="22"/>
                <w:szCs w:val="22"/>
                <w:highlight w:val="none"/>
                <w:lang w:val="en-US" w:eastAsia="zh-CN" w:bidi="ar"/>
              </w:rPr>
              <w:t>-</w:t>
            </w:r>
            <w:r>
              <w:rPr>
                <w:rFonts w:hint="eastAsia" w:ascii="宋体" w:hAnsi="宋体" w:cs="宋体"/>
                <w:color w:val="auto"/>
                <w:kern w:val="0"/>
                <w:sz w:val="22"/>
                <w:szCs w:val="22"/>
                <w:highlight w:val="none"/>
                <w:lang w:bidi="ar"/>
              </w:rPr>
              <w:t>5%</w:t>
            </w:r>
            <w:r>
              <w:rPr>
                <w:rFonts w:hint="eastAsia" w:ascii="宋体" w:hAnsi="宋体" w:cs="宋体"/>
                <w:color w:val="auto"/>
                <w:kern w:val="0"/>
                <w:sz w:val="22"/>
                <w:szCs w:val="22"/>
                <w:highlight w:val="none"/>
                <w:lang w:val="en-US" w:eastAsia="zh-CN" w:bidi="ar"/>
              </w:rPr>
              <w:t>~-</w:t>
            </w:r>
            <w:r>
              <w:rPr>
                <w:rFonts w:hint="eastAsia" w:ascii="宋体" w:hAnsi="宋体" w:cs="宋体"/>
                <w:color w:val="auto"/>
                <w:kern w:val="0"/>
                <w:sz w:val="22"/>
                <w:szCs w:val="22"/>
                <w:highlight w:val="none"/>
                <w:lang w:bidi="ar"/>
              </w:rPr>
              <w:t>5%。</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5）输出信号:4-20mA/0~10VDC。</w:t>
            </w:r>
          </w:p>
          <w:p>
            <w:pPr>
              <w:pStyle w:val="26"/>
              <w:adjustRightInd w:val="0"/>
              <w:spacing w:line="240" w:lineRule="auto"/>
              <w:ind w:firstLine="0" w:firstLineChars="0"/>
              <w:textAlignment w:val="baseline"/>
              <w:rPr>
                <w:rFonts w:ascii="Tahoma" w:hAnsi="Tahoma" w:eastAsia="Tahoma" w:cs="Tahoma"/>
                <w:color w:val="auto"/>
                <w:sz w:val="22"/>
                <w:szCs w:val="22"/>
                <w:highlight w:val="none"/>
              </w:rPr>
            </w:pPr>
            <w:r>
              <w:rPr>
                <w:rFonts w:hint="eastAsia" w:ascii="宋体" w:hAnsi="宋体" w:cs="宋体"/>
                <w:color w:val="auto"/>
                <w:kern w:val="0"/>
                <w:sz w:val="22"/>
                <w:szCs w:val="22"/>
                <w:highlight w:val="none"/>
                <w:lang w:bidi="ar"/>
              </w:rPr>
              <w:t>6)室外温、湿度传感器附带防雨防阳光直射罩壳。</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4</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风管型温湿度传感器</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27</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6"/>
              <w:adjustRightInd w:val="0"/>
              <w:spacing w:line="360" w:lineRule="auto"/>
              <w:ind w:firstLine="0" w:firstLineChars="0"/>
              <w:textAlignment w:val="baseline"/>
              <w:rPr>
                <w:rFonts w:ascii="Tahoma" w:hAnsi="Tahoma" w:cs="Tahoma"/>
                <w:color w:val="auto"/>
                <w:sz w:val="22"/>
                <w:szCs w:val="22"/>
                <w:highlight w:val="none"/>
              </w:rPr>
            </w:pPr>
            <w:r>
              <w:rPr>
                <w:rFonts w:hint="eastAsia" w:ascii="宋体" w:hAnsi="宋体" w:cs="宋体"/>
                <w:color w:val="auto"/>
                <w:kern w:val="0"/>
                <w:sz w:val="22"/>
                <w:szCs w:val="22"/>
                <w:highlight w:val="none"/>
                <w:lang w:bidi="ar"/>
              </w:rPr>
              <w:t>NTC20K</w:t>
            </w:r>
            <w:r>
              <w:rPr>
                <w:rFonts w:hint="eastAsia" w:ascii="Tahoma" w:hAnsi="Tahoma" w:cs="Tahoma"/>
                <w:color w:val="auto"/>
                <w:sz w:val="22"/>
                <w:szCs w:val="22"/>
                <w:highlight w:val="none"/>
              </w:rPr>
              <w:t>，</w:t>
            </w:r>
            <w:r>
              <w:rPr>
                <w:rFonts w:hint="eastAsia" w:ascii="宋体" w:hAnsi="宋体" w:cs="宋体"/>
                <w:color w:val="auto"/>
                <w:kern w:val="0"/>
                <w:sz w:val="22"/>
                <w:szCs w:val="22"/>
                <w:highlight w:val="none"/>
                <w:lang w:bidi="ar"/>
              </w:rPr>
              <w:t>0~50℃</w:t>
            </w:r>
          </w:p>
        </w:tc>
      </w:tr>
      <w:tr>
        <w:tblPrEx>
          <w:tblCellMar>
            <w:top w:w="0" w:type="dxa"/>
            <w:left w:w="0" w:type="dxa"/>
            <w:bottom w:w="0" w:type="dxa"/>
            <w:right w:w="0" w:type="dxa"/>
          </w:tblCellMar>
        </w:tblPrEx>
        <w:trPr>
          <w:trHeight w:val="393"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5</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二氧化碳浓度传感器</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9</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0~2000ppm</w:t>
            </w:r>
          </w:p>
        </w:tc>
      </w:tr>
      <w:tr>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6</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过滤网压差开关</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18</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4~400MPa</w:t>
            </w:r>
          </w:p>
        </w:tc>
      </w:tr>
      <w:tr>
        <w:tblPrEx>
          <w:tblCellMar>
            <w:top w:w="0" w:type="dxa"/>
            <w:left w:w="0" w:type="dxa"/>
            <w:bottom w:w="0" w:type="dxa"/>
            <w:right w:w="0" w:type="dxa"/>
          </w:tblCellMar>
        </w:tblPrEx>
        <w:trPr>
          <w:trHeight w:val="468"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D9D9D9"/>
            <w:noWrap/>
            <w:tcMar>
              <w:top w:w="15" w:type="dxa"/>
              <w:left w:w="15" w:type="dxa"/>
              <w:right w:w="15" w:type="dxa"/>
            </w:tcMar>
            <w:vAlign w:val="center"/>
          </w:tcPr>
          <w:p>
            <w:pPr>
              <w:ind w:firstLine="3313" w:firstLineChars="1500"/>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四、精准能效系统</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高精准智能网关</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数据采集器设备通过专业机构电磁兼容数据采集器设备通过专业机构电磁兼容测试，且通过平均无故障连续运行时间（MTBF）不小于60天的测试，通过国家节能产品认证或环保产品认证。</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精准冷量计量单元</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1套冷量计量单元测量温度精度不低于±0.05℃；测量流量精度要求不低于 1 级 (±1%)；控制模块不低于24位。</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3</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数字电表</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26</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精度0.5S级</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4</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互感器</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66</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 xml:space="preserve">精度0.5S级 </w:t>
            </w:r>
          </w:p>
        </w:tc>
      </w:tr>
      <w:tr>
        <w:tblPrEx>
          <w:tblCellMar>
            <w:top w:w="0" w:type="dxa"/>
            <w:left w:w="0" w:type="dxa"/>
            <w:bottom w:w="0" w:type="dxa"/>
            <w:right w:w="0" w:type="dxa"/>
          </w:tblCellMar>
        </w:tblPrEx>
        <w:trPr>
          <w:trHeight w:val="33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5</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互感器</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12</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精度0.5S级</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6</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空调末端远程智能控制设备</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网络型温控器</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7</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空调无线通信中继</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采用无线协议进行通讯</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8</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空调无线网关</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ascii="宋体" w:hAnsi="宋体" w:cs="宋体"/>
                <w:color w:val="auto"/>
                <w:kern w:val="0"/>
                <w:sz w:val="22"/>
                <w:szCs w:val="22"/>
                <w:highlight w:val="none"/>
                <w:lang w:bidi="ar"/>
              </w:rPr>
              <w:t>提供多个可插入的网关模块； 支持</w:t>
            </w:r>
            <w:r>
              <w:rPr>
                <w:rFonts w:hint="eastAsia" w:ascii="宋体" w:hAnsi="宋体" w:cs="宋体"/>
                <w:color w:val="auto"/>
                <w:kern w:val="0"/>
                <w:sz w:val="22"/>
                <w:szCs w:val="22"/>
                <w:highlight w:val="none"/>
                <w:lang w:bidi="ar"/>
              </w:rPr>
              <w:t>多个</w:t>
            </w:r>
            <w:r>
              <w:rPr>
                <w:rFonts w:ascii="宋体" w:hAnsi="宋体" w:cs="宋体"/>
                <w:color w:val="auto"/>
                <w:kern w:val="0"/>
                <w:sz w:val="22"/>
                <w:szCs w:val="22"/>
                <w:highlight w:val="none"/>
                <w:lang w:bidi="ar"/>
              </w:rPr>
              <w:t>个通道和</w:t>
            </w:r>
            <w:r>
              <w:rPr>
                <w:rFonts w:hint="eastAsia" w:ascii="宋体" w:hAnsi="宋体" w:cs="宋体"/>
                <w:color w:val="auto"/>
                <w:kern w:val="0"/>
                <w:sz w:val="22"/>
                <w:szCs w:val="22"/>
                <w:highlight w:val="none"/>
                <w:lang w:bidi="ar"/>
              </w:rPr>
              <w:t>多个</w:t>
            </w:r>
            <w:r>
              <w:rPr>
                <w:rFonts w:ascii="宋体" w:hAnsi="宋体" w:cs="宋体"/>
                <w:color w:val="auto"/>
                <w:kern w:val="0"/>
                <w:sz w:val="22"/>
                <w:szCs w:val="22"/>
                <w:highlight w:val="none"/>
                <w:lang w:bidi="ar"/>
              </w:rPr>
              <w:t>以太网端口。</w:t>
            </w:r>
          </w:p>
        </w:tc>
      </w:tr>
      <w:tr>
        <w:tblPrEx>
          <w:tblCellMar>
            <w:top w:w="0" w:type="dxa"/>
            <w:left w:w="0" w:type="dxa"/>
            <w:bottom w:w="0" w:type="dxa"/>
            <w:right w:w="0" w:type="dxa"/>
          </w:tblCellMar>
        </w:tblPrEx>
        <w:trPr>
          <w:trHeight w:val="573"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D9D9D9"/>
            <w:noWrap/>
            <w:tcMar>
              <w:top w:w="15" w:type="dxa"/>
              <w:left w:w="15" w:type="dxa"/>
              <w:right w:w="15" w:type="dxa"/>
            </w:tcMar>
            <w:vAlign w:val="center"/>
          </w:tcPr>
          <w:p>
            <w:pPr>
              <w:jc w:val="center"/>
              <w:rPr>
                <w:rFonts w:hint="eastAsia" w:ascii="宋体" w:hAnsi="宋体" w:cs="宋体"/>
                <w:b/>
                <w:color w:val="auto"/>
                <w:sz w:val="22"/>
                <w:szCs w:val="22"/>
                <w:highlight w:val="none"/>
              </w:rPr>
            </w:pPr>
          </w:p>
        </w:tc>
      </w:tr>
      <w:tr>
        <w:tblPrEx>
          <w:tblCellMar>
            <w:top w:w="0" w:type="dxa"/>
            <w:left w:w="0" w:type="dxa"/>
            <w:bottom w:w="0" w:type="dxa"/>
            <w:right w:w="0" w:type="dxa"/>
          </w:tblCellMar>
        </w:tblPrEx>
        <w:trPr>
          <w:trHeight w:val="896"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群控编程调试</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项</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系统优化控制编程调试。包括深化设计，现场安装指导，PLC编程、系统联合调试与调适，云端数据服务，竣工验收文档资料，培训及质保期内免费保修等。</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精准系统调试</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项</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包括深化设计，现场安装指导，PLC编程、系统联合调试与调适，热平衡及精准能效监测系统调试。,云端数据服务，竣工验收文档资料，培训及质保期内免费保修等。</w:t>
            </w:r>
          </w:p>
        </w:tc>
      </w:tr>
      <w:tr>
        <w:tblPrEx>
          <w:tblCellMar>
            <w:top w:w="0" w:type="dxa"/>
            <w:left w:w="0" w:type="dxa"/>
            <w:bottom w:w="0" w:type="dxa"/>
            <w:right w:w="0" w:type="dxa"/>
          </w:tblCellMar>
        </w:tblPrEx>
        <w:trPr>
          <w:trHeight w:val="683"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D9D9D9"/>
            <w:noWrap/>
            <w:tcMar>
              <w:top w:w="15" w:type="dxa"/>
              <w:left w:w="15" w:type="dxa"/>
              <w:right w:w="15" w:type="dxa"/>
            </w:tcMar>
            <w:vAlign w:val="center"/>
          </w:tcPr>
          <w:p>
            <w:pPr>
              <w:jc w:val="center"/>
              <w:rPr>
                <w:rFonts w:hint="eastAsia" w:ascii="宋体" w:hAnsi="宋体" w:cs="宋体"/>
                <w:color w:val="auto"/>
                <w:sz w:val="22"/>
                <w:szCs w:val="22"/>
                <w:highlight w:val="none"/>
              </w:rPr>
            </w:pPr>
            <w:r>
              <w:rPr>
                <w:rFonts w:hint="eastAsia" w:ascii="宋体" w:hAnsi="宋体" w:cs="宋体"/>
                <w:b/>
                <w:color w:val="auto"/>
                <w:kern w:val="0"/>
                <w:sz w:val="22"/>
                <w:szCs w:val="22"/>
                <w:highlight w:val="none"/>
                <w:lang w:bidi="ar"/>
              </w:rPr>
              <w:t>六、材料、人工安装费</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信号线</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1800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RVVSP 2*1.0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软电缆</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2400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RVV 3*2.5/2*1.5/6*1.0</w:t>
            </w:r>
          </w:p>
        </w:tc>
      </w:tr>
      <w:tr>
        <w:tblPrEx>
          <w:tblCellMar>
            <w:top w:w="0" w:type="dxa"/>
            <w:left w:w="0" w:type="dxa"/>
            <w:bottom w:w="0" w:type="dxa"/>
            <w:right w:w="0" w:type="dxa"/>
          </w:tblCellMar>
        </w:tblPrEx>
        <w:trPr>
          <w:trHeight w:val="34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3</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控制电缆</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600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RVVP 2*1.0/4*1.0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4</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网线</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400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rPr>
              <w:t>6类线</w:t>
            </w:r>
          </w:p>
        </w:tc>
      </w:tr>
      <w:tr>
        <w:tblPrEx>
          <w:tblCellMar>
            <w:top w:w="0" w:type="dxa"/>
            <w:left w:w="0" w:type="dxa"/>
            <w:bottom w:w="0" w:type="dxa"/>
            <w:right w:w="0" w:type="dxa"/>
          </w:tblCellMar>
        </w:tblPrEx>
        <w:trPr>
          <w:trHeight w:val="42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5</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桥架</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600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新宋体" w:hAnsi="新宋体" w:eastAsia="新宋体" w:cs="新宋体"/>
                <w:color w:val="auto"/>
                <w:kern w:val="0"/>
                <w:sz w:val="22"/>
                <w:szCs w:val="22"/>
                <w:highlight w:val="none"/>
                <w:lang w:bidi="ar"/>
              </w:rPr>
              <w:t>100*50</w:t>
            </w:r>
          </w:p>
        </w:tc>
      </w:tr>
      <w:tr>
        <w:tblPrEx>
          <w:tblCellMar>
            <w:top w:w="0" w:type="dxa"/>
            <w:left w:w="0" w:type="dxa"/>
            <w:bottom w:w="0" w:type="dxa"/>
            <w:right w:w="0" w:type="dxa"/>
          </w:tblCellMar>
        </w:tblPrEx>
        <w:trPr>
          <w:trHeight w:val="42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kern w:val="0"/>
                <w:sz w:val="22"/>
                <w:szCs w:val="22"/>
                <w:highlight w:val="none"/>
                <w:lang w:bidi="ar"/>
              </w:rPr>
            </w:pPr>
            <w:r>
              <w:rPr>
                <w:rFonts w:hint="eastAsia" w:ascii="宋体" w:hAnsi="宋体" w:cs="宋体"/>
                <w:b/>
                <w:color w:val="auto"/>
                <w:kern w:val="0"/>
                <w:sz w:val="22"/>
                <w:szCs w:val="22"/>
                <w:highlight w:val="none"/>
                <w:lang w:bidi="ar"/>
              </w:rPr>
              <w:t>6</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kern w:val="0"/>
                <w:sz w:val="22"/>
                <w:szCs w:val="22"/>
                <w:highlight w:val="none"/>
                <w:lang w:bidi="ar"/>
              </w:rPr>
            </w:pPr>
            <w:r>
              <w:rPr>
                <w:rFonts w:hint="eastAsia" w:ascii="新宋体" w:hAnsi="新宋体" w:eastAsia="新宋体" w:cs="新宋体"/>
                <w:color w:val="auto"/>
                <w:kern w:val="0"/>
                <w:sz w:val="22"/>
                <w:szCs w:val="22"/>
                <w:highlight w:val="none"/>
                <w:lang w:bidi="ar"/>
              </w:rPr>
              <w:t>镀锌线管</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新宋体" w:hAnsi="新宋体" w:eastAsia="新宋体" w:cs="新宋体"/>
                <w:color w:val="auto"/>
                <w:kern w:val="0"/>
                <w:sz w:val="22"/>
                <w:szCs w:val="22"/>
                <w:highlight w:val="none"/>
                <w:lang w:bidi="ar"/>
              </w:rPr>
            </w:pPr>
            <w:r>
              <w:rPr>
                <w:rFonts w:hint="eastAsia" w:ascii="新宋体" w:hAnsi="新宋体" w:eastAsia="新宋体" w:cs="新宋体"/>
                <w:color w:val="auto"/>
                <w:kern w:val="0"/>
                <w:sz w:val="22"/>
                <w:szCs w:val="22"/>
                <w:highlight w:val="none"/>
                <w:lang w:bidi="ar"/>
              </w:rPr>
              <w:t>DN25</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7</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分线接线盒</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30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7</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支架/其他辅材</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项</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2"/>
                <w:szCs w:val="22"/>
                <w:highlight w:val="none"/>
              </w:rPr>
            </w:pPr>
          </w:p>
        </w:tc>
      </w:tr>
    </w:tbl>
    <w:p>
      <w:pPr>
        <w:numPr>
          <w:ilvl w:val="0"/>
          <w:numId w:val="0"/>
        </w:numPr>
        <w:spacing w:line="320" w:lineRule="exact"/>
        <w:rPr>
          <w:rFonts w:hint="default" w:ascii="新宋体" w:hAnsi="新宋体" w:eastAsia="新宋体" w:cs="Times New Roman"/>
          <w:color w:val="auto"/>
          <w:sz w:val="22"/>
          <w:szCs w:val="22"/>
          <w:highlight w:val="none"/>
          <w:lang w:val="en-US" w:eastAsia="zh-CN"/>
        </w:rPr>
      </w:pPr>
      <w:r>
        <w:rPr>
          <w:rFonts w:hint="eastAsia"/>
          <w:color w:val="auto"/>
          <w:sz w:val="22"/>
          <w:szCs w:val="22"/>
          <w:highlight w:val="none"/>
          <w:lang w:val="en-US" w:eastAsia="zh-CN"/>
        </w:rPr>
        <w:t>③</w:t>
      </w:r>
      <w:r>
        <w:rPr>
          <w:rFonts w:hint="eastAsia" w:ascii="新宋体" w:hAnsi="新宋体" w:eastAsia="新宋体" w:cs="Times New Roman"/>
          <w:color w:val="auto"/>
          <w:sz w:val="22"/>
          <w:szCs w:val="22"/>
          <w:highlight w:val="none"/>
          <w:lang w:val="en-US" w:eastAsia="zh-CN"/>
        </w:rPr>
        <w:t>变配电系统设备清单</w:t>
      </w:r>
    </w:p>
    <w:tbl>
      <w:tblPr>
        <w:tblStyle w:val="21"/>
        <w:tblW w:w="9727" w:type="dxa"/>
        <w:tblInd w:w="0" w:type="dxa"/>
        <w:tblLayout w:type="fixed"/>
        <w:tblCellMar>
          <w:top w:w="0" w:type="dxa"/>
          <w:left w:w="0" w:type="dxa"/>
          <w:bottom w:w="0" w:type="dxa"/>
          <w:right w:w="0" w:type="dxa"/>
        </w:tblCellMar>
      </w:tblPr>
      <w:tblGrid>
        <w:gridCol w:w="587"/>
        <w:gridCol w:w="1837"/>
        <w:gridCol w:w="612"/>
        <w:gridCol w:w="690"/>
        <w:gridCol w:w="6001"/>
      </w:tblGrid>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序号</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设备名称</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数量</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单位</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备注</w:t>
            </w:r>
          </w:p>
        </w:tc>
      </w:tr>
      <w:tr>
        <w:tblPrEx>
          <w:tblCellMar>
            <w:top w:w="0" w:type="dxa"/>
            <w:left w:w="0" w:type="dxa"/>
            <w:bottom w:w="0" w:type="dxa"/>
            <w:right w:w="0" w:type="dxa"/>
          </w:tblCellMar>
        </w:tblPrEx>
        <w:trPr>
          <w:trHeight w:val="548"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多功能数显表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381</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停电更换电表，利用原互感器</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2</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变压器温控器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6</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工作电压：AC176V～AC242Ｖ(50Hz)</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测温范围：-30℃－200℃</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测温精度：±0.5%Fs</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上行485串口，支持Modbus-RTU协议</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3</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水浸监测设备</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2</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套</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1、实现漏水情况状态检测</w:t>
            </w:r>
          </w:p>
          <w:p>
            <w:pPr>
              <w:widowControl/>
              <w:textAlignment w:val="center"/>
              <w:rPr>
                <w:rFonts w:hint="eastAsia" w:ascii="宋体" w:hAnsi="宋体" w:cs="宋体"/>
                <w:color w:val="auto"/>
                <w:kern w:val="0"/>
                <w:sz w:val="22"/>
                <w:szCs w:val="22"/>
                <w:highlight w:val="none"/>
                <w:lang w:val="en-US" w:eastAsia="zh-CN" w:bidi="ar"/>
              </w:rPr>
            </w:pPr>
            <w:bookmarkStart w:id="3" w:name="OLE_LINK3"/>
            <w:r>
              <w:rPr>
                <w:rFonts w:hint="eastAsia" w:ascii="宋体" w:hAnsi="宋体" w:cs="宋体"/>
                <w:color w:val="auto"/>
                <w:kern w:val="0"/>
                <w:sz w:val="22"/>
                <w:szCs w:val="22"/>
                <w:highlight w:val="none"/>
                <w:lang w:val="en-US" w:eastAsia="zh-CN" w:bidi="ar"/>
              </w:rPr>
              <w:t>上行485串口，支持Modbus-RTU协议</w:t>
            </w:r>
          </w:p>
          <w:bookmarkEnd w:id="3"/>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支持接入声光报警装置，漏水报警</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4</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人体感应</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4</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监测直径6米</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工作温度-20℃~+50℃；湿度&lt;95%</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报警输出</w:t>
            </w:r>
          </w:p>
        </w:tc>
      </w:tr>
      <w:tr>
        <w:tblPrEx>
          <w:tblCellMar>
            <w:top w:w="0" w:type="dxa"/>
            <w:left w:w="0" w:type="dxa"/>
            <w:bottom w:w="0" w:type="dxa"/>
            <w:right w:w="0" w:type="dxa"/>
          </w:tblCellMar>
        </w:tblPrEx>
        <w:trPr>
          <w:trHeight w:val="1024"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5</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温湿度传感器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4</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供电DC10-30V</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精度：</w:t>
            </w:r>
            <w:bookmarkStart w:id="4" w:name="OLE_LINK2"/>
            <w:r>
              <w:rPr>
                <w:rFonts w:hint="eastAsia" w:ascii="宋体" w:hAnsi="宋体" w:cs="宋体"/>
                <w:color w:val="auto"/>
                <w:kern w:val="0"/>
                <w:sz w:val="22"/>
                <w:szCs w:val="22"/>
                <w:highlight w:val="none"/>
                <w:lang w:val="en-US" w:eastAsia="zh-CN" w:bidi="ar"/>
              </w:rPr>
              <w:t>±</w:t>
            </w:r>
            <w:bookmarkEnd w:id="4"/>
            <w:r>
              <w:rPr>
                <w:rFonts w:hint="eastAsia" w:ascii="宋体" w:hAnsi="宋体" w:cs="宋体"/>
                <w:color w:val="auto"/>
                <w:kern w:val="0"/>
                <w:sz w:val="22"/>
                <w:szCs w:val="22"/>
                <w:highlight w:val="none"/>
                <w:lang w:val="en-US" w:eastAsia="zh-CN" w:bidi="ar"/>
              </w:rPr>
              <w:t>2%RH;±0.4℃（25℃）</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输出信号：RS485接口，Modbus-RTU协议</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6</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数据采集器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7</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1、远程传输接口：支持有线通信模式（ADSL等）或无线通讯模式（GPRS/CDMA无线通讯）；</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2、采集接口：具备4个可独立配置采集接口(采集接口为RS485接口)，具备至少1个RJ45接口，用于数据上传和本地维护；</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3、波特率：支持300~115200bps；</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4、采集点：每路RS485接口支持32个数据采集点；总支持数128个数据采集点；</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5、通讯协议：支持DLT645-1997/2007、CJ/T 188-2004、ModBus-RTU协议，支持用户协议扩展；</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6、支持断点续传，保持数据完整性；</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7、内置 Flash 能够可靠保存 6-12 个月的历史数据，可扩展 4~32G SD 卡；</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8、掉电后数据不丢失；</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9、工作电源：交流220V±10%，电源功率小于10W；</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10、工作温湿度：-10～+50℃；&lt;95% 无凝结露。</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11、环境条件：无腐蚀、可燃性气体和导电性尘埃；</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12、所投数据采集器设备通过专业检测机构电磁兼容测试，且通过平均无故障连续运行时间（MTBF）不小于60天的测试；</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7</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DI模块</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26</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1、16点开关量输入</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2、485通讯接口，Modbus-RTU协议</w:t>
            </w:r>
          </w:p>
        </w:tc>
      </w:tr>
    </w:tbl>
    <w:p>
      <w:pPr>
        <w:numPr>
          <w:ilvl w:val="0"/>
          <w:numId w:val="0"/>
        </w:numPr>
        <w:spacing w:line="320" w:lineRule="exact"/>
        <w:rPr>
          <w:rFonts w:hint="eastAsia" w:ascii="新宋体" w:hAnsi="新宋体" w:eastAsia="新宋体" w:cs="Times New Roman"/>
          <w:color w:val="auto"/>
          <w:sz w:val="22"/>
          <w:szCs w:val="22"/>
          <w:highlight w:val="none"/>
          <w:lang w:val="en-US" w:eastAsia="zh-CN"/>
        </w:rPr>
      </w:pPr>
      <w:r>
        <w:rPr>
          <w:rFonts w:hint="eastAsia"/>
          <w:color w:val="auto"/>
          <w:sz w:val="22"/>
          <w:szCs w:val="22"/>
          <w:highlight w:val="none"/>
          <w:lang w:val="en-US" w:eastAsia="zh-CN"/>
        </w:rPr>
        <w:t>④</w:t>
      </w:r>
      <w:r>
        <w:rPr>
          <w:rFonts w:hint="eastAsia" w:ascii="新宋体" w:hAnsi="新宋体" w:eastAsia="新宋体" w:cs="Times New Roman"/>
          <w:color w:val="auto"/>
          <w:sz w:val="22"/>
          <w:szCs w:val="22"/>
          <w:highlight w:val="none"/>
          <w:lang w:val="en-US" w:eastAsia="zh-CN"/>
        </w:rPr>
        <w:t>生活水泵供水监测设备清单</w:t>
      </w:r>
    </w:p>
    <w:tbl>
      <w:tblPr>
        <w:tblStyle w:val="21"/>
        <w:tblW w:w="9426" w:type="dxa"/>
        <w:tblInd w:w="0" w:type="dxa"/>
        <w:tblLayout w:type="fixed"/>
        <w:tblCellMar>
          <w:top w:w="0" w:type="dxa"/>
          <w:left w:w="0" w:type="dxa"/>
          <w:bottom w:w="0" w:type="dxa"/>
          <w:right w:w="0" w:type="dxa"/>
        </w:tblCellMar>
      </w:tblPr>
      <w:tblGrid>
        <w:gridCol w:w="587"/>
        <w:gridCol w:w="1837"/>
        <w:gridCol w:w="612"/>
        <w:gridCol w:w="845"/>
        <w:gridCol w:w="5545"/>
      </w:tblGrid>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序号</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设备名称</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数量</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单位</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备注</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2</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数据采集器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1、远程传输接口：支持有线通信模式（ADSL等）或无线通讯模式（GPRS/CDMA无线通讯）；</w:t>
            </w:r>
          </w:p>
          <w:p>
            <w:pPr>
              <w:widowControl/>
              <w:textAlignment w:val="center"/>
              <w:rPr>
                <w:rFonts w:hint="eastAsia" w:ascii="宋体" w:hAnsi="宋体" w:cs="宋体"/>
                <w:b/>
                <w:bCs/>
                <w:color w:val="auto"/>
                <w:kern w:val="0"/>
                <w:sz w:val="22"/>
                <w:szCs w:val="22"/>
                <w:highlight w:val="none"/>
                <w:lang w:bidi="ar"/>
              </w:rPr>
            </w:pPr>
            <w:r>
              <w:rPr>
                <w:rFonts w:hint="eastAsia" w:ascii="宋体" w:hAnsi="宋体" w:cs="宋体"/>
                <w:b/>
                <w:bCs/>
                <w:color w:val="auto"/>
                <w:kern w:val="0"/>
                <w:sz w:val="22"/>
                <w:szCs w:val="22"/>
                <w:highlight w:val="none"/>
                <w:lang w:bidi="ar"/>
              </w:rPr>
              <w:t>2、采集接口：具备4个可独立配置采集接口(采集接口为RS485接口)，具备至少1个RJ45接口，用于数据上传和本地维护；</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3、波特率：支持300~115200bps；</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4、采集点：每路RS485接口支持32个数据采集点；总支持数128个数据采集点；</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5、通讯协议：支持DLT645-1997/2007、CJ/T 188-2004、ModBus-RTU协议，支持用户协议扩展；</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6、支持断点续传，保持数据完整性；</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7、内置 Flash 能够可靠保存 6-12 个月的历史数据，可扩展 4~32G SD 卡；</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8、掉电后数据不丢失；</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9、工作电源：交流220V±10%，电源功率小于10W；</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10、工作温湿度：-10～+50℃；&lt;95% 无凝结露。</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11、环境条件：无腐蚀、可燃性气体和导电性尘埃；</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b/>
                <w:bCs/>
                <w:color w:val="auto"/>
                <w:kern w:val="0"/>
                <w:sz w:val="22"/>
                <w:szCs w:val="22"/>
                <w:highlight w:val="none"/>
                <w:lang w:bidi="ar"/>
              </w:rPr>
              <w:t>12、所投数据采集器设备通过专业检测机构电磁兼容测试，且通过平均无故障连续运行时间（MTBF）不小于60天的测试；</w:t>
            </w:r>
          </w:p>
        </w:tc>
      </w:tr>
      <w:tr>
        <w:tblPrEx>
          <w:tblCellMar>
            <w:top w:w="0" w:type="dxa"/>
            <w:left w:w="0" w:type="dxa"/>
            <w:bottom w:w="0" w:type="dxa"/>
            <w:right w:w="0" w:type="dxa"/>
          </w:tblCellMar>
        </w:tblPrEx>
        <w:trPr>
          <w:trHeight w:val="548"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3</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DI模块</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b/>
                <w:bCs/>
                <w:color w:val="auto"/>
                <w:kern w:val="0"/>
                <w:sz w:val="22"/>
                <w:szCs w:val="22"/>
                <w:highlight w:val="none"/>
                <w:lang w:bidi="ar"/>
              </w:rPr>
            </w:pPr>
            <w:bookmarkStart w:id="5" w:name="OLE_LINK1"/>
            <w:r>
              <w:rPr>
                <w:rFonts w:hint="eastAsia" w:ascii="宋体" w:hAnsi="宋体" w:cs="宋体"/>
                <w:b/>
                <w:bCs/>
                <w:color w:val="auto"/>
                <w:kern w:val="0"/>
                <w:sz w:val="22"/>
                <w:szCs w:val="22"/>
                <w:highlight w:val="none"/>
                <w:lang w:bidi="ar"/>
              </w:rPr>
              <w:t>1、16点开关量输入</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b/>
                <w:bCs/>
                <w:color w:val="auto"/>
                <w:kern w:val="0"/>
                <w:sz w:val="22"/>
                <w:szCs w:val="22"/>
                <w:highlight w:val="none"/>
                <w:lang w:val="en-US" w:eastAsia="zh-CN" w:bidi="ar"/>
              </w:rPr>
              <w:t>2、485通讯接口，Modbus-RTU协议</w:t>
            </w:r>
            <w:bookmarkEnd w:id="5"/>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4</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数据线 2X0.75</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100</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米</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5</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BVR 1.0</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100</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米</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p>
        </w:tc>
      </w:tr>
    </w:tbl>
    <w:p>
      <w:pPr>
        <w:numPr>
          <w:ilvl w:val="0"/>
          <w:numId w:val="0"/>
        </w:numPr>
        <w:spacing w:line="320" w:lineRule="exact"/>
        <w:rPr>
          <w:rFonts w:hint="eastAsia" w:ascii="宋体" w:hAnsi="宋体" w:cs="Courier New"/>
          <w:color w:val="auto"/>
          <w:kern w:val="2"/>
          <w:sz w:val="22"/>
          <w:szCs w:val="24"/>
          <w:highlight w:val="none"/>
          <w:lang w:val="en-US" w:eastAsia="zh-CN" w:bidi="ar-SA"/>
        </w:rPr>
      </w:pPr>
    </w:p>
    <w:p>
      <w:pPr>
        <w:pStyle w:val="26"/>
        <w:numPr>
          <w:ilvl w:val="0"/>
          <w:numId w:val="0"/>
        </w:numPr>
        <w:adjustRightInd w:val="0"/>
        <w:spacing w:line="360" w:lineRule="auto"/>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注：上述拟采购清单中若涉及到节能产品政府采购品目清单内产品，按照财库〔2019〕19号文件相关政策执行。</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⑤中央空调群控系统要求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 xml:space="preserve">1.1、图形界面要求 </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1.1.1彩色图形界面直观、实时显示但不限于如下信息：室外气象参数，冷站整体能效值，冷站能效标尺，冷站制冷量、冷站耗电量，制冷机能效值（KW/KW），冷冻水泵输配系数、冷却水泵输配系数、冷却塔输配系数，制冷主机耗电值，冷冻水泵耗电值，冷却水泵耗电值，冷冻水系统参数，冷却水系统参数。</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界面必须有冷站能效尺，直观表现冷站能效等级为：“优秀”，“良好”，“一般”，“急需改善”。</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1.1.2系统必须有热平衡校验功能，软件实时对系统的热平衡进行检测以验证测量数据的有效性，并在界面实时显示冷站热平衡校验标尺及热平衡率。</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1.1.3三维显示冷站的设备布置图及水路布置图，并在图上显示每台设备及管路的详细参数及信息，并有数据储存及统计功能，可以对每台设备的实时及历史数据生成曲线和报表，可按日期及设备进行详细数据查验。</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1.2、系统运行操作和权限要求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1.2.1提供系统安全级别管理，增强系统的安全性。应用程序的调用，操作画面显示，设备操作，都可以赋予权限管理。除此之外还能限制某些关键程序的访问，如：过程数据库的重装及过程数据库的写入操作。可以同步系统管理员提供windows 的用户名和密码，作为系统软件的登录名和密码。</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1.2.2对每一个监控对象，操作员可在监控对象所属的系统图画面通过点击代表设备的图标打开监控对象的控制画面（以下简称控制画面），给监控对象施加操作指令，控制监控对象的运行。</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1.3、系统报警功能要求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1.3.1方便、灵活、可靠、易于扩展的报警系统，报告系统活动及系统潜在的问题，保障系统安全运行。提供多种报警管理功能，基于重要事件的报警优先于系统故障报警、报警过滤功能，以及通过拨号网络的远程报警管理等。必须能够自动监测各种类别的报警，包括一般报警、预报警，重要报警等,并且在画面上显示相应报警点。报警随即进入历史数据库，可长期存储和根据用户的需求进行各种查询，如按用户、故障类型、发生时间等条件或条件组合进行查询。历史数据库中的报警记录可长期存档并作后期分析，如自动分类统计等。对于告警屏蔽和告警过滤都可以通过组态方便的实现。用户可以自定义告警显示信息。可以定义告警的优先级，不同类别的告警使用不同的颜色。</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1.3.2故障报警分类：</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系统应设有冷机、水泵等设备故障报警、变频器故障报警、控制器通讯故障报警、传感器数据异常报警、用户侧用冷量异常报警等。</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1.4、系统报表功能要求：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1.4.1系统应提供丰富的在线报表生成功能，可自动生成各种定制化能耗数据报表，收费单据及报警信息报表并支持Excel或导出，以及在线打印功能。</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1.4.2能耗报表主要包含冷站的总能耗报表、分类能耗报表、同比能耗报表、环比能耗报表、分项能耗报表、详细用能数据分析展示，界面采用直观的图形化界面（柱状图、饼图等呈现方式）来分析展示能耗数据，支持逐日、逐周、逐月、逐年和自定义的自由查询功能。提供多种查询结果的报表导出功能，方便将查询结果作为节能监管部门日常文档的一部分提交。</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1.4.3能耗分析主要功能包含同比能耗分析、环比能耗分析、计划月实际对比分析、能耗结构分析。完成数据的管理和计算，对用户进行用冷计算及排名。</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1.4.4系统报表应有一致的格式和布局。提供丰富直观的操作界面，使管理者根据可能的业务模型创建查询、建立自定义报表，并在其上生成各种图表。建立方便的数据导出方式，如报表打印，报表导出等。</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1.4.5系统为冷站用户提供每月冷费账单结算，用户可设置每月结算周期、用电单价及结算方式，系统根据用户配合参数每月定期自动生成用户结算账单，账单支持打印功能。</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1.5、能耗计量功能要求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1.5.1实现各类能源数据的分散采集和集中管理，帮助冷站提高配电、水循环等系统的自动化管理水平，以减少故障和简化日常维护工作。同时将能耗数据提供给能源管理模块进行统计分析。</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1.5.2能量管理功能，应用平台实现对能源站各部分冷量、用户侧冷量、能源站补水量、各主要设备用电量等数据的采集、统计、分析、报表功能。</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1.5.3数据查询：应具备对建筑、楼层、数据时间、计费类型数据的查询功能。</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1.5.4权限设定：应具有权限组管理功能，允许建立多个不同权限级别的权限组，灵活设定各级别权限组的操作员的每项权限。</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1.5.5数据交换：用户需查询的数据可以以标准、通用的格式(如 Excel）直接导出，在互联网上发布，而无需通过数据格式转换。</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1.5.6设备动态检测记录：具有设备动态检测记录功能，通过这个功能管理者很方便地了解到现场设备的使用时间、使用状态及性能。可以动态记录设备在特定时段内的使用状况，并生成动态曲线。</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1.5.7阶梯电价：配合电表实施阶梯电价，进行计量和记录的功能。</w:t>
      </w:r>
    </w:p>
    <w:p>
      <w:pPr>
        <w:pStyle w:val="26"/>
        <w:numPr>
          <w:ilvl w:val="0"/>
          <w:numId w:val="0"/>
        </w:numPr>
        <w:adjustRightInd w:val="0"/>
        <w:spacing w:line="360" w:lineRule="auto"/>
        <w:ind w:leftChars="0" w:firstLine="440" w:firstLineChars="200"/>
        <w:textAlignment w:val="baseline"/>
        <w:rPr>
          <w:rFonts w:hint="default"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1.5.8对一些暂时未实现自动化采集的设备，且这些设备无法通过已接入自动化采集设备换算出来的，要求人工补录，以保证数据的完整性和统计数据的准确性。同时对建筑面积、功能区域划分、人员情况、运转时间等客观数据实现录入或导入。</w:t>
      </w:r>
    </w:p>
    <w:p>
      <w:pPr>
        <w:spacing w:line="360" w:lineRule="auto"/>
        <w:jc w:val="left"/>
        <w:rPr>
          <w:rFonts w:hint="eastAsia" w:ascii="宋体" w:hAnsi="宋体" w:eastAsia="宋体" w:cs="宋体"/>
          <w:b/>
          <w:bCs/>
          <w:color w:val="auto"/>
          <w:sz w:val="22"/>
          <w:szCs w:val="22"/>
          <w:highlight w:val="none"/>
          <w:lang w:val="en-US" w:eastAsia="zh-CN"/>
        </w:rPr>
      </w:pPr>
      <w:r>
        <w:rPr>
          <w:rFonts w:hint="eastAsia" w:eastAsia="宋体" w:cs="宋体"/>
          <w:b/>
          <w:bCs/>
          <w:color w:val="auto"/>
          <w:sz w:val="22"/>
          <w:szCs w:val="22"/>
          <w:highlight w:val="none"/>
          <w:lang w:val="en-US" w:eastAsia="zh-CN"/>
        </w:rPr>
        <w:t>四、</w:t>
      </w:r>
      <w:r>
        <w:rPr>
          <w:rFonts w:hint="eastAsia" w:ascii="宋体" w:hAnsi="宋体" w:eastAsia="宋体" w:cs="宋体"/>
          <w:b/>
          <w:bCs/>
          <w:color w:val="auto"/>
          <w:sz w:val="22"/>
          <w:szCs w:val="22"/>
          <w:highlight w:val="none"/>
          <w:lang w:val="en-US" w:eastAsia="zh-CN"/>
        </w:rPr>
        <w:t>商务条款：</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4.1</w:t>
      </w:r>
      <w:r>
        <w:rPr>
          <w:rFonts w:hint="eastAsia" w:eastAsia="宋体" w:cs="宋体"/>
          <w:b w:val="0"/>
          <w:bCs w:val="0"/>
          <w:color w:val="auto"/>
          <w:sz w:val="22"/>
          <w:szCs w:val="22"/>
          <w:highlight w:val="none"/>
          <w:lang w:val="en-US" w:eastAsia="zh-CN"/>
        </w:rPr>
        <w:t>安装</w:t>
      </w:r>
      <w:r>
        <w:rPr>
          <w:rFonts w:hint="eastAsia" w:ascii="宋体" w:hAnsi="宋体" w:eastAsia="宋体" w:cs="宋体"/>
          <w:b w:val="0"/>
          <w:bCs w:val="0"/>
          <w:color w:val="auto"/>
          <w:sz w:val="22"/>
          <w:szCs w:val="22"/>
          <w:highlight w:val="none"/>
          <w:lang w:val="en-US" w:eastAsia="zh-CN"/>
        </w:rPr>
        <w:t>服务</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①</w:t>
      </w:r>
      <w:r>
        <w:rPr>
          <w:rFonts w:hint="eastAsia" w:ascii="宋体" w:hAnsi="宋体" w:eastAsia="宋体" w:cs="宋体"/>
          <w:b w:val="0"/>
          <w:bCs w:val="0"/>
          <w:color w:val="auto"/>
          <w:sz w:val="22"/>
          <w:szCs w:val="22"/>
          <w:highlight w:val="none"/>
          <w:lang w:val="en-US" w:eastAsia="zh-CN"/>
        </w:rPr>
        <w:t>施工现场质量管理应有健全的质量管理体系、相应的施工技术标准、施工质量检验制度和综合施工质量水平考核制度。</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②</w:t>
      </w:r>
      <w:r>
        <w:rPr>
          <w:rFonts w:hint="eastAsia" w:ascii="宋体" w:hAnsi="宋体" w:eastAsia="宋体" w:cs="宋体"/>
          <w:b w:val="0"/>
          <w:bCs w:val="0"/>
          <w:color w:val="auto"/>
          <w:sz w:val="22"/>
          <w:szCs w:val="22"/>
          <w:highlight w:val="none"/>
          <w:lang w:val="en-US" w:eastAsia="zh-CN"/>
        </w:rPr>
        <w:t>智能电表安装工程施工现场的质量管理，应符合GB50303-2002《建筑电气工程施工质量验收规范》和GB50168-2006《电气装置安装电缆线路施工及验收规范》的规定。</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③中标</w:t>
      </w:r>
      <w:r>
        <w:rPr>
          <w:rFonts w:hint="eastAsia" w:ascii="宋体" w:hAnsi="宋体" w:eastAsia="宋体" w:cs="宋体"/>
          <w:b w:val="0"/>
          <w:bCs w:val="0"/>
          <w:color w:val="auto"/>
          <w:sz w:val="22"/>
          <w:szCs w:val="22"/>
          <w:highlight w:val="none"/>
          <w:lang w:val="en-US" w:eastAsia="zh-CN"/>
        </w:rPr>
        <w:t>单位应编制本项目施工技术方案，并经审查批准后执行。</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④中标</w:t>
      </w:r>
      <w:r>
        <w:rPr>
          <w:rFonts w:hint="eastAsia" w:ascii="宋体" w:hAnsi="宋体" w:eastAsia="宋体" w:cs="宋体"/>
          <w:b w:val="0"/>
          <w:bCs w:val="0"/>
          <w:color w:val="auto"/>
          <w:sz w:val="22"/>
          <w:szCs w:val="22"/>
          <w:highlight w:val="none"/>
          <w:lang w:val="en-US" w:eastAsia="zh-CN"/>
        </w:rPr>
        <w:t>单位应编制配电设备改造具体施工技术方案，并经审查批准后执行。</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⑤</w:t>
      </w:r>
      <w:r>
        <w:rPr>
          <w:rFonts w:hint="eastAsia" w:ascii="宋体" w:hAnsi="宋体" w:eastAsia="宋体" w:cs="宋体"/>
          <w:b w:val="0"/>
          <w:bCs w:val="0"/>
          <w:color w:val="auto"/>
          <w:sz w:val="22"/>
          <w:szCs w:val="22"/>
          <w:highlight w:val="none"/>
          <w:lang w:val="en-US" w:eastAsia="zh-CN"/>
        </w:rPr>
        <w:t>线路敷设</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管线应暗敷不宜外露。</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⑥</w:t>
      </w:r>
      <w:r>
        <w:rPr>
          <w:rFonts w:hint="eastAsia" w:ascii="宋体" w:hAnsi="宋体" w:eastAsia="宋体" w:cs="宋体"/>
          <w:b w:val="0"/>
          <w:bCs w:val="0"/>
          <w:color w:val="auto"/>
          <w:sz w:val="22"/>
          <w:szCs w:val="22"/>
          <w:highlight w:val="none"/>
          <w:lang w:val="en-US" w:eastAsia="zh-CN"/>
        </w:rPr>
        <w:t>电表箱安装应符合下列规定：</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电表箱、控制器等宜安装在室内。</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电表箱应有可靠的防小动物入侵和防非法操作措施，进出线孔应有密封措施。</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电表箱固定螺栓应采用镀锌或不锈钢制品。</w:t>
      </w:r>
    </w:p>
    <w:p>
      <w:pPr>
        <w:numPr>
          <w:ilvl w:val="0"/>
          <w:numId w:val="0"/>
        </w:num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⑦</w:t>
      </w:r>
      <w:r>
        <w:rPr>
          <w:rFonts w:hint="eastAsia" w:ascii="宋体" w:hAnsi="宋体" w:eastAsia="宋体" w:cs="宋体"/>
          <w:b w:val="0"/>
          <w:bCs w:val="0"/>
          <w:color w:val="auto"/>
          <w:sz w:val="22"/>
          <w:szCs w:val="22"/>
          <w:highlight w:val="none"/>
          <w:lang w:val="en-US" w:eastAsia="zh-CN"/>
        </w:rPr>
        <w:t>计算机主机、各种选配插卡、外部设备及通讯接口、通讯距离符合设计和产品说明的要求。</w:t>
      </w:r>
    </w:p>
    <w:p>
      <w:pPr>
        <w:numPr>
          <w:ilvl w:val="0"/>
          <w:numId w:val="0"/>
        </w:numPr>
        <w:spacing w:line="360" w:lineRule="auto"/>
        <w:jc w:val="left"/>
        <w:rPr>
          <w:rFonts w:hint="eastAsia"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w:t>
      </w:r>
      <w:r>
        <w:rPr>
          <w:rFonts w:hint="eastAsia" w:eastAsia="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en-US" w:eastAsia="zh-CN"/>
        </w:rPr>
        <w:t>2</w:t>
      </w:r>
      <w:r>
        <w:rPr>
          <w:rFonts w:hint="eastAsia" w:eastAsia="宋体" w:cs="宋体"/>
          <w:b w:val="0"/>
          <w:bCs w:val="0"/>
          <w:color w:val="auto"/>
          <w:sz w:val="22"/>
          <w:szCs w:val="22"/>
          <w:highlight w:val="none"/>
          <w:lang w:val="en-US" w:eastAsia="zh-CN"/>
        </w:rPr>
        <w:t>售后服务</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1、质保期要求：全系统质保</w:t>
      </w:r>
      <w:r>
        <w:rPr>
          <w:rFonts w:hint="eastAsia" w:eastAsia="宋体" w:cs="宋体"/>
          <w:b w:val="0"/>
          <w:bCs w:val="0"/>
          <w:color w:val="auto"/>
          <w:sz w:val="22"/>
          <w:szCs w:val="22"/>
          <w:highlight w:val="none"/>
          <w:lang w:val="en-US" w:eastAsia="zh-CN"/>
        </w:rPr>
        <w:t>期</w:t>
      </w:r>
      <w:r>
        <w:rPr>
          <w:rFonts w:hint="eastAsia" w:ascii="宋体" w:hAnsi="宋体" w:eastAsia="宋体" w:cs="宋体"/>
          <w:b w:val="0"/>
          <w:bCs w:val="0"/>
          <w:color w:val="auto"/>
          <w:sz w:val="22"/>
          <w:szCs w:val="22"/>
          <w:highlight w:val="none"/>
          <w:lang w:val="en-US" w:eastAsia="zh-CN"/>
        </w:rPr>
        <w:t>7年</w:t>
      </w:r>
      <w:r>
        <w:rPr>
          <w:rFonts w:hint="eastAsia" w:cs="宋体"/>
          <w:b w:val="0"/>
          <w:bCs w:val="0"/>
          <w:color w:val="auto"/>
          <w:sz w:val="22"/>
          <w:szCs w:val="22"/>
          <w:highlight w:val="none"/>
          <w:lang w:val="en-US" w:eastAsia="zh-CN"/>
        </w:rPr>
        <w:t>（院方原有设备除外）</w:t>
      </w:r>
      <w:r>
        <w:rPr>
          <w:rFonts w:hint="eastAsia" w:ascii="宋体" w:hAnsi="宋体" w:eastAsia="宋体" w:cs="宋体"/>
          <w:b w:val="0"/>
          <w:bCs w:val="0"/>
          <w:color w:val="auto"/>
          <w:sz w:val="22"/>
          <w:szCs w:val="22"/>
          <w:highlight w:val="none"/>
          <w:lang w:val="en-US" w:eastAsia="zh-CN"/>
        </w:rPr>
        <w:t>；</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2、技术支持要求：</w:t>
      </w:r>
      <w:r>
        <w:rPr>
          <w:rFonts w:hint="eastAsia" w:eastAsia="宋体" w:cs="宋体"/>
          <w:b w:val="0"/>
          <w:bCs w:val="0"/>
          <w:color w:val="auto"/>
          <w:sz w:val="22"/>
          <w:szCs w:val="22"/>
          <w:highlight w:val="none"/>
          <w:lang w:val="en-US" w:eastAsia="zh-CN"/>
        </w:rPr>
        <w:t>中标人中标后</w:t>
      </w:r>
      <w:r>
        <w:rPr>
          <w:rFonts w:hint="eastAsia" w:cs="宋体"/>
          <w:b w:val="0"/>
          <w:bCs w:val="0"/>
          <w:color w:val="auto"/>
          <w:sz w:val="22"/>
          <w:szCs w:val="22"/>
          <w:highlight w:val="none"/>
          <w:lang w:val="en-US" w:eastAsia="zh-CN"/>
        </w:rPr>
        <w:t>十个工作日内</w:t>
      </w:r>
      <w:r>
        <w:rPr>
          <w:rFonts w:hint="eastAsia" w:ascii="宋体" w:hAnsi="宋体" w:eastAsia="宋体" w:cs="宋体"/>
          <w:b w:val="0"/>
          <w:bCs w:val="0"/>
          <w:color w:val="auto"/>
          <w:sz w:val="22"/>
          <w:szCs w:val="22"/>
          <w:highlight w:val="none"/>
          <w:lang w:val="en-US" w:eastAsia="zh-CN"/>
        </w:rPr>
        <w:t>须在温州市设立售后服务点，以处理所有的售后服务。质保期内出现问题，1小时内响应，2小时内到达现场，24小时内提出解决方案。现场解决不了的采取更换措施、先换再修原则。</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3、其他：产品合格证书。提供的所有产品均为原厂生产合格产品。</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4.3其他要求</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①供应商可进行现场考察，以获取有关投标文件、签署合同所需的资料。采购方不组织集中考察，由各供应商自行安排，但必须在开标前进行。考察的各种费用由供应商负责。</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②凡未在规定的时间内进行现场考察的供应商，投标时可能对供应商产生不利的后果（包括因不熟悉现场情况而造成报价失误等），由供应商自行负责。</w:t>
      </w:r>
    </w:p>
    <w:p>
      <w:pPr>
        <w:spacing w:line="360" w:lineRule="auto"/>
        <w:ind w:firstLine="440" w:firstLineChars="200"/>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③工期要求：合同签订后在接到采购人进场施工通知之日起，90日历天之内交货并安装调试完毕通过验收。</w:t>
      </w:r>
    </w:p>
    <w:p>
      <w:pPr>
        <w:spacing w:line="360" w:lineRule="auto"/>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4.4▲现场演示具体要求：</w:t>
      </w:r>
    </w:p>
    <w:p>
      <w:pPr>
        <w:spacing w:line="360" w:lineRule="auto"/>
        <w:ind w:firstLine="442" w:firstLineChars="200"/>
        <w:jc w:val="left"/>
        <w:rPr>
          <w:rFonts w:hint="eastAsia" w:ascii="宋体" w:hAnsi="宋体" w:eastAsia="宋体" w:cs="宋体"/>
          <w:b/>
          <w:bCs/>
          <w:color w:val="auto"/>
          <w:sz w:val="22"/>
          <w:szCs w:val="22"/>
          <w:highlight w:val="none"/>
          <w:lang w:val="en-US" w:eastAsia="zh-CN"/>
        </w:rPr>
      </w:pPr>
      <w:r>
        <w:rPr>
          <w:rFonts w:hint="eastAsia" w:cs="宋体"/>
          <w:b/>
          <w:bCs/>
          <w:color w:val="auto"/>
          <w:sz w:val="22"/>
          <w:szCs w:val="22"/>
          <w:highlight w:val="none"/>
          <w:lang w:val="en-US" w:eastAsia="zh-CN"/>
        </w:rPr>
        <w:t>4.4</w:t>
      </w:r>
      <w:r>
        <w:rPr>
          <w:rFonts w:hint="eastAsia" w:ascii="宋体" w:hAnsi="宋体" w:eastAsia="宋体" w:cs="宋体"/>
          <w:b/>
          <w:bCs/>
          <w:color w:val="auto"/>
          <w:sz w:val="22"/>
          <w:szCs w:val="22"/>
          <w:highlight w:val="none"/>
          <w:lang w:val="en-US" w:eastAsia="zh-CN"/>
        </w:rPr>
        <w:t>.1本次采购评标细则中涉及演示部分，须投标人授权代表现场进行软件演示，按照功能模块提供项目实例或软件原型演示，演示内容包括但不限于医院能源消耗总览、中央空调监测、变配电系统监测、生活水泵房供水监测、设备全生命周期管理等内容。各演示功能点须明确清晰，上述功能在同一平台演示体现。</w:t>
      </w:r>
    </w:p>
    <w:p>
      <w:pPr>
        <w:spacing w:line="360" w:lineRule="auto"/>
        <w:ind w:firstLine="442" w:firstLineChars="200"/>
        <w:jc w:val="left"/>
        <w:rPr>
          <w:rFonts w:hint="default" w:ascii="宋体" w:hAnsi="宋体" w:eastAsia="宋体" w:cs="宋体"/>
          <w:b/>
          <w:bCs/>
          <w:color w:val="auto"/>
          <w:sz w:val="22"/>
          <w:szCs w:val="22"/>
          <w:highlight w:val="none"/>
          <w:lang w:val="en-US" w:eastAsia="zh-CN"/>
        </w:rPr>
      </w:pPr>
      <w:r>
        <w:rPr>
          <w:rFonts w:hint="eastAsia" w:cs="宋体"/>
          <w:b/>
          <w:bCs/>
          <w:color w:val="auto"/>
          <w:sz w:val="22"/>
          <w:szCs w:val="22"/>
          <w:highlight w:val="none"/>
          <w:lang w:val="en-US" w:eastAsia="zh-CN"/>
        </w:rPr>
        <w:t>4.4</w:t>
      </w:r>
      <w:r>
        <w:rPr>
          <w:rFonts w:hint="eastAsia" w:ascii="宋体" w:hAnsi="宋体" w:eastAsia="宋体" w:cs="宋体"/>
          <w:b/>
          <w:bCs/>
          <w:color w:val="auto"/>
          <w:sz w:val="22"/>
          <w:szCs w:val="22"/>
          <w:highlight w:val="none"/>
          <w:lang w:val="en-US" w:eastAsia="zh-CN"/>
        </w:rPr>
        <w:t>.2演示在上午10.30准时开始，演示顺序按投标文件</w:t>
      </w:r>
      <w:r>
        <w:rPr>
          <w:rFonts w:hint="eastAsia" w:cs="宋体"/>
          <w:b/>
          <w:bCs/>
          <w:color w:val="auto"/>
          <w:sz w:val="22"/>
          <w:szCs w:val="22"/>
          <w:highlight w:val="none"/>
          <w:lang w:val="en-US" w:eastAsia="zh-CN"/>
        </w:rPr>
        <w:t>解密</w:t>
      </w:r>
      <w:r>
        <w:rPr>
          <w:rFonts w:hint="eastAsia" w:ascii="宋体" w:hAnsi="宋体" w:eastAsia="宋体" w:cs="宋体"/>
          <w:b/>
          <w:bCs/>
          <w:color w:val="auto"/>
          <w:sz w:val="22"/>
          <w:szCs w:val="22"/>
          <w:highlight w:val="none"/>
          <w:lang w:val="en-US" w:eastAsia="zh-CN"/>
        </w:rPr>
        <w:t>的先后顺序依次进行，各投标人演示时间不得超过15分钟，超时停止，不提供现场演示则该项不得分。</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4.5付款方式</w:t>
      </w:r>
    </w:p>
    <w:p>
      <w:pPr>
        <w:spacing w:line="360" w:lineRule="auto"/>
        <w:ind w:firstLine="440" w:firstLineChars="200"/>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①签订合同后7日内中标单位向采购人支付合同总价的2%作为履约保证金；进场施工后10日内院方支付合同价10%作为预付款；</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②本项目产品运行质保期为7年，经第三方有资质的机构审计后每年节能金额达到66万元及以上时，则采购人将合同总价的88.5%分为七年平均支</w:t>
      </w:r>
      <w:r>
        <w:rPr>
          <w:rFonts w:hint="eastAsia" w:cs="宋体"/>
          <w:b w:val="0"/>
          <w:bCs w:val="0"/>
          <w:color w:val="auto"/>
          <w:sz w:val="22"/>
          <w:szCs w:val="22"/>
          <w:highlight w:val="none"/>
          <w:lang w:val="en-US" w:eastAsia="zh-CN"/>
        </w:rPr>
        <w:t xml:space="preserve">   </w:t>
      </w:r>
      <w:r>
        <w:rPr>
          <w:rFonts w:hint="eastAsia" w:ascii="宋体" w:hAnsi="宋体" w:eastAsia="宋体" w:cs="宋体"/>
          <w:b w:val="0"/>
          <w:bCs w:val="0"/>
          <w:color w:val="auto"/>
          <w:sz w:val="22"/>
          <w:szCs w:val="22"/>
          <w:highlight w:val="none"/>
          <w:lang w:val="en-US" w:eastAsia="zh-CN"/>
        </w:rPr>
        <w:t>付给中标人；</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③本项目产品运行质保期为7年，若质保期内采购人实际支付给中标人的金额达到签约合同价或质保期满时（按先达到的条件认定），本合同自动终止，届时中标人将设备资产一次性转移给采购人。采购人同时一次性无息退还中标人的履约保证金，并不再支付中标人其余费用。</w:t>
      </w:r>
    </w:p>
    <w:p>
      <w:pPr>
        <w:spacing w:line="360" w:lineRule="auto"/>
        <w:ind w:firstLine="440" w:firstLineChars="200"/>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④剩余合同总价的1.5%在合同期满一年后无质量问题情况下，采购人一次性支付给中标人。</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⑤节能费用以第三方能源审计为准，若合同期内，连续两年节能费用金额未达到66万/年，则视为中标人违约，采购人有权单方面终止合同不再支付剩余合同金额，并没收中标人履约保证金，且中标人将设备资产一次性移交给采购人。</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⑥节能费用的水、电、气的单价按2019年院方财务支出的单价为准。鉴于近年来能源单价浮动较大，为保障双方利益，合同期内能源单价结算做如下恒定： 天然气单价恒定：4元/立方； 电费单价0.7177元/度；水：5.4元/吨。</w:t>
      </w:r>
    </w:p>
    <w:p>
      <w:pPr>
        <w:spacing w:line="360" w:lineRule="auto"/>
        <w:ind w:firstLine="440" w:firstLineChars="200"/>
        <w:jc w:val="left"/>
        <w:rPr>
          <w:rFonts w:hint="eastAsia" w:ascii="宋体" w:hAnsi="宋体" w:eastAsia="宋体" w:cs="宋体"/>
          <w:b w:val="0"/>
          <w:bCs w:val="0"/>
          <w:color w:val="auto"/>
          <w:sz w:val="22"/>
          <w:szCs w:val="22"/>
          <w:highlight w:val="none"/>
          <w:lang w:val="zh-CN" w:eastAsia="zh-CN"/>
        </w:rPr>
      </w:pPr>
      <w:r>
        <w:rPr>
          <w:rFonts w:hint="eastAsia" w:ascii="宋体" w:hAnsi="宋体" w:eastAsia="宋体" w:cs="宋体"/>
          <w:b w:val="0"/>
          <w:bCs w:val="0"/>
          <w:color w:val="auto"/>
          <w:sz w:val="22"/>
          <w:szCs w:val="22"/>
          <w:highlight w:val="none"/>
          <w:lang w:val="en-US" w:eastAsia="zh-CN"/>
        </w:rPr>
        <w:t>⑦合同期内因施工改造原因引起的（改造范围内）水、电、气计量不准确而产生的法律风险由供应商承担；</w:t>
      </w: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p>
    <w:p>
      <w:pPr>
        <w:pStyle w:val="19"/>
        <w:rPr>
          <w:rFonts w:hint="eastAsia"/>
          <w:color w:val="auto"/>
          <w:highlight w:val="none"/>
          <w:lang w:val="zh-CN"/>
        </w:rPr>
      </w:pPr>
      <w:r>
        <w:rPr>
          <w:rFonts w:hint="eastAsia"/>
          <w:color w:val="auto"/>
          <w:highlight w:val="none"/>
          <w:lang w:val="zh-CN"/>
        </w:rPr>
        <w:t>第三部分   供应商须知</w:t>
      </w:r>
    </w:p>
    <w:p>
      <w:pPr>
        <w:autoSpaceDE w:val="0"/>
        <w:autoSpaceDN w:val="0"/>
        <w:adjustRightInd w:val="0"/>
        <w:snapToGrid w:val="0"/>
        <w:spacing w:line="460" w:lineRule="exact"/>
        <w:textAlignment w:val="bottom"/>
        <w:rPr>
          <w:rFonts w:hint="eastAsia"/>
          <w:color w:val="auto"/>
          <w:sz w:val="22"/>
          <w:szCs w:val="22"/>
          <w:highlight w:val="none"/>
        </w:rPr>
      </w:pPr>
      <w:r>
        <w:rPr>
          <w:rFonts w:hint="eastAsia"/>
          <w:color w:val="auto"/>
          <w:sz w:val="22"/>
          <w:szCs w:val="22"/>
          <w:highlight w:val="none"/>
        </w:rPr>
        <w:t>一、说明</w:t>
      </w:r>
    </w:p>
    <w:p>
      <w:pPr>
        <w:adjustRightInd w:val="0"/>
        <w:spacing w:line="400" w:lineRule="exact"/>
        <w:ind w:firstLine="431" w:firstLineChars="196"/>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w:t>
      </w:r>
      <w:r>
        <w:rPr>
          <w:rFonts w:hint="eastAsia"/>
          <w:color w:val="auto"/>
          <w:sz w:val="22"/>
          <w:szCs w:val="22"/>
          <w:highlight w:val="none"/>
        </w:rPr>
        <w:t>本次采购工作是按照《中华人民共和国政府采购法》及相关法律规章组织和实施。</w:t>
      </w:r>
    </w:p>
    <w:p>
      <w:pPr>
        <w:adjustRightInd w:val="0"/>
        <w:spacing w:line="400" w:lineRule="exact"/>
        <w:ind w:firstLine="433" w:firstLineChars="196"/>
        <w:rPr>
          <w:rFonts w:hint="eastAsia"/>
          <w:b/>
          <w:color w:val="auto"/>
          <w:sz w:val="22"/>
          <w:szCs w:val="22"/>
          <w:highlight w:val="none"/>
          <w:u w:val="single"/>
        </w:rPr>
      </w:pPr>
      <w:r>
        <w:rPr>
          <w:rFonts w:hint="eastAsia"/>
          <w:b/>
          <w:color w:val="auto"/>
          <w:sz w:val="22"/>
          <w:szCs w:val="22"/>
          <w:highlight w:val="none"/>
          <w:u w:val="single"/>
        </w:rPr>
        <w:t>2</w:t>
      </w:r>
      <w:r>
        <w:rPr>
          <w:rFonts w:hint="eastAsia"/>
          <w:b/>
          <w:color w:val="auto"/>
          <w:sz w:val="22"/>
          <w:szCs w:val="22"/>
          <w:highlight w:val="none"/>
          <w:u w:val="single"/>
          <w:lang w:val="en-US" w:eastAsia="zh-CN"/>
        </w:rPr>
        <w:t>.</w:t>
      </w:r>
      <w:r>
        <w:rPr>
          <w:rFonts w:hint="eastAsia"/>
          <w:b/>
          <w:color w:val="auto"/>
          <w:sz w:val="22"/>
          <w:szCs w:val="22"/>
          <w:highlight w:val="none"/>
          <w:u w:val="single"/>
        </w:rPr>
        <w:t>供应商必须投</w:t>
      </w:r>
      <w:r>
        <w:rPr>
          <w:rFonts w:hint="eastAsia"/>
          <w:b/>
          <w:color w:val="auto"/>
          <w:sz w:val="22"/>
          <w:szCs w:val="22"/>
          <w:highlight w:val="none"/>
          <w:u w:val="single"/>
          <w:lang w:val="en-US" w:eastAsia="zh-CN"/>
        </w:rPr>
        <w:t>整个标段</w:t>
      </w:r>
      <w:r>
        <w:rPr>
          <w:rFonts w:hint="eastAsia"/>
          <w:b/>
          <w:color w:val="auto"/>
          <w:sz w:val="22"/>
          <w:szCs w:val="22"/>
          <w:highlight w:val="none"/>
          <w:u w:val="single"/>
        </w:rPr>
        <w:t>的全部内容，否则按无效投标处理。</w:t>
      </w:r>
    </w:p>
    <w:p>
      <w:pPr>
        <w:adjustRightInd w:val="0"/>
        <w:spacing w:line="400" w:lineRule="exact"/>
        <w:ind w:firstLine="431" w:firstLineChars="196"/>
        <w:rPr>
          <w:rFonts w:hint="eastAsia"/>
          <w:color w:val="auto"/>
          <w:sz w:val="22"/>
          <w:szCs w:val="22"/>
          <w:highlight w:val="none"/>
        </w:rPr>
      </w:pPr>
      <w:r>
        <w:rPr>
          <w:rFonts w:hint="eastAsia"/>
          <w:color w:val="auto"/>
          <w:sz w:val="22"/>
          <w:szCs w:val="22"/>
          <w:highlight w:val="none"/>
        </w:rPr>
        <w:t>3</w:t>
      </w:r>
      <w:r>
        <w:rPr>
          <w:rFonts w:hint="eastAsia"/>
          <w:color w:val="auto"/>
          <w:sz w:val="22"/>
          <w:szCs w:val="22"/>
          <w:highlight w:val="none"/>
          <w:lang w:val="en-US" w:eastAsia="zh-CN"/>
        </w:rPr>
        <w:t>.</w:t>
      </w:r>
      <w:r>
        <w:rPr>
          <w:rFonts w:hint="eastAsia"/>
          <w:color w:val="auto"/>
          <w:sz w:val="22"/>
          <w:szCs w:val="22"/>
          <w:highlight w:val="none"/>
        </w:rPr>
        <w:t>无论投标过程中的作法和结果如何，供应商自行承担投标活动中所发生的全部费用。</w:t>
      </w:r>
    </w:p>
    <w:p>
      <w:pPr>
        <w:autoSpaceDE w:val="0"/>
        <w:autoSpaceDN w:val="0"/>
        <w:adjustRightInd w:val="0"/>
        <w:snapToGrid w:val="0"/>
        <w:spacing w:line="400" w:lineRule="exact"/>
        <w:ind w:firstLine="446" w:firstLineChars="203"/>
        <w:textAlignment w:val="bottom"/>
        <w:rPr>
          <w:rFonts w:hint="eastAsia"/>
          <w:color w:val="auto"/>
          <w:sz w:val="22"/>
          <w:szCs w:val="22"/>
          <w:highlight w:val="none"/>
        </w:rPr>
      </w:pPr>
      <w:r>
        <w:rPr>
          <w:rFonts w:hint="eastAsia"/>
          <w:color w:val="auto"/>
          <w:sz w:val="22"/>
          <w:szCs w:val="22"/>
          <w:highlight w:val="none"/>
        </w:rPr>
        <w:t>4</w:t>
      </w:r>
      <w:r>
        <w:rPr>
          <w:rFonts w:hint="eastAsia"/>
          <w:color w:val="auto"/>
          <w:sz w:val="22"/>
          <w:szCs w:val="22"/>
          <w:highlight w:val="none"/>
          <w:lang w:val="en-US" w:eastAsia="zh-CN"/>
        </w:rPr>
        <w:t>.</w:t>
      </w:r>
      <w:r>
        <w:rPr>
          <w:rFonts w:hint="eastAsia"/>
          <w:color w:val="auto"/>
          <w:sz w:val="22"/>
          <w:szCs w:val="22"/>
          <w:highlight w:val="none"/>
        </w:rPr>
        <w:t>本次采购商务报价文件与技术资信文件分别评审，评标委员会首先评审供应商技术资信部分，技术资信部分无效的供应商不进入商务报价评审。要求供应商技术资信部分的投标文件（含资信与服务）中不得含产品报价，否则做无效投标处理。</w:t>
      </w:r>
    </w:p>
    <w:p>
      <w:pPr>
        <w:autoSpaceDE w:val="0"/>
        <w:autoSpaceDN w:val="0"/>
        <w:adjustRightInd w:val="0"/>
        <w:snapToGrid w:val="0"/>
        <w:spacing w:line="400" w:lineRule="exact"/>
        <w:ind w:firstLine="418" w:firstLineChars="190"/>
        <w:textAlignment w:val="bottom"/>
        <w:rPr>
          <w:rFonts w:hint="eastAsia"/>
          <w:bCs/>
          <w:color w:val="auto"/>
          <w:sz w:val="22"/>
          <w:szCs w:val="22"/>
          <w:highlight w:val="none"/>
        </w:rPr>
      </w:pPr>
      <w:r>
        <w:rPr>
          <w:rFonts w:hint="eastAsia"/>
          <w:bCs/>
          <w:color w:val="auto"/>
          <w:sz w:val="22"/>
          <w:szCs w:val="22"/>
          <w:highlight w:val="none"/>
        </w:rPr>
        <w:t>5</w:t>
      </w:r>
      <w:r>
        <w:rPr>
          <w:rFonts w:hint="eastAsia"/>
          <w:bCs/>
          <w:color w:val="auto"/>
          <w:sz w:val="22"/>
          <w:szCs w:val="22"/>
          <w:highlight w:val="none"/>
          <w:lang w:val="en-US" w:eastAsia="zh-CN"/>
        </w:rPr>
        <w:t>.</w:t>
      </w:r>
      <w:r>
        <w:rPr>
          <w:rFonts w:hint="eastAsia"/>
          <w:bCs/>
          <w:color w:val="auto"/>
          <w:sz w:val="22"/>
          <w:szCs w:val="22"/>
          <w:highlight w:val="none"/>
        </w:rPr>
        <w:t>供应商须自行现场勘察，以求得准确的报价依据。供应商须自行考虑投标报价的风险。</w:t>
      </w:r>
    </w:p>
    <w:p>
      <w:pPr>
        <w:pStyle w:val="8"/>
        <w:adjustRightInd w:val="0"/>
        <w:snapToGrid w:val="0"/>
        <w:spacing w:line="400" w:lineRule="exact"/>
        <w:ind w:firstLine="442"/>
        <w:rPr>
          <w:rFonts w:hint="eastAsia" w:ascii="宋体" w:hAnsi="宋体" w:cs="宋体"/>
          <w:b/>
          <w:color w:val="auto"/>
          <w:sz w:val="22"/>
          <w:szCs w:val="22"/>
          <w:highlight w:val="none"/>
        </w:rPr>
      </w:pPr>
      <w:r>
        <w:rPr>
          <w:rFonts w:hint="eastAsia" w:ascii="宋体" w:hAnsi="宋体" w:cs="宋体"/>
          <w:b/>
          <w:color w:val="auto"/>
          <w:sz w:val="22"/>
          <w:szCs w:val="22"/>
          <w:highlight w:val="none"/>
        </w:rPr>
        <w:t>6</w:t>
      </w:r>
      <w:r>
        <w:rPr>
          <w:rFonts w:hint="eastAsia" w:ascii="宋体" w:hAnsi="宋体" w:cs="宋体"/>
          <w:b/>
          <w:color w:val="auto"/>
          <w:sz w:val="22"/>
          <w:szCs w:val="22"/>
          <w:highlight w:val="none"/>
          <w:lang w:val="en-US" w:eastAsia="zh-CN"/>
        </w:rPr>
        <w:t>.</w:t>
      </w:r>
      <w:r>
        <w:rPr>
          <w:rFonts w:hint="eastAsia" w:ascii="宋体" w:hAnsi="宋体" w:cs="宋体"/>
          <w:b/>
          <w:color w:val="auto"/>
          <w:sz w:val="22"/>
          <w:szCs w:val="22"/>
          <w:highlight w:val="none"/>
          <w:u w:val="single"/>
        </w:rPr>
        <w:t>供应商企业不是独立法人的，按浙财采监[2013]24号文件执行。</w:t>
      </w:r>
    </w:p>
    <w:p>
      <w:pPr>
        <w:snapToGrid w:val="0"/>
        <w:spacing w:line="400" w:lineRule="exact"/>
        <w:ind w:firstLine="418" w:firstLineChars="190"/>
        <w:rPr>
          <w:rFonts w:hint="eastAsia"/>
          <w:bCs/>
          <w:color w:val="auto"/>
          <w:sz w:val="22"/>
          <w:szCs w:val="22"/>
          <w:highlight w:val="none"/>
        </w:rPr>
      </w:pPr>
      <w:r>
        <w:rPr>
          <w:rFonts w:hint="eastAsia"/>
          <w:bCs/>
          <w:color w:val="auto"/>
          <w:sz w:val="22"/>
          <w:szCs w:val="22"/>
          <w:highlight w:val="none"/>
          <w:lang w:val="en-US" w:eastAsia="zh-CN"/>
        </w:rPr>
        <w:t>7.</w:t>
      </w:r>
      <w:r>
        <w:rPr>
          <w:rFonts w:hint="eastAsia"/>
          <w:bCs/>
          <w:color w:val="auto"/>
          <w:sz w:val="22"/>
          <w:szCs w:val="22"/>
          <w:highlight w:val="none"/>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snapToGrid w:val="0"/>
        <w:spacing w:line="400" w:lineRule="exact"/>
        <w:ind w:firstLine="420" w:firstLineChars="190"/>
        <w:rPr>
          <w:rFonts w:hint="eastAsia"/>
          <w:b/>
          <w:color w:val="auto"/>
          <w:sz w:val="22"/>
          <w:szCs w:val="22"/>
          <w:highlight w:val="none"/>
          <w:lang w:val="zh-CN"/>
        </w:rPr>
      </w:pPr>
      <w:r>
        <w:rPr>
          <w:rFonts w:hint="eastAsia"/>
          <w:b/>
          <w:color w:val="auto"/>
          <w:sz w:val="22"/>
          <w:szCs w:val="22"/>
          <w:highlight w:val="none"/>
          <w:lang w:val="en-US" w:eastAsia="zh-CN"/>
        </w:rPr>
        <w:t>8.</w:t>
      </w:r>
      <w:r>
        <w:rPr>
          <w:rFonts w:hint="eastAsia"/>
          <w:b/>
          <w:color w:val="auto"/>
          <w:sz w:val="22"/>
          <w:szCs w:val="22"/>
          <w:highlight w:val="none"/>
          <w:lang w:val="zh-CN"/>
        </w:rPr>
        <w:t>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en-US" w:eastAsia="zh-CN"/>
        </w:rPr>
        <w:t>9.</w:t>
      </w:r>
      <w:r>
        <w:rPr>
          <w:rFonts w:hint="eastAsia"/>
          <w:b/>
          <w:color w:val="auto"/>
          <w:sz w:val="22"/>
          <w:szCs w:val="22"/>
          <w:highlight w:val="none"/>
          <w:lang w:val="zh-CN"/>
        </w:rPr>
        <w:t>知识产权</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en-US" w:eastAsia="zh-CN"/>
        </w:rPr>
        <w:t>9</w:t>
      </w:r>
      <w:r>
        <w:rPr>
          <w:rFonts w:hint="eastAsia"/>
          <w:b/>
          <w:color w:val="auto"/>
          <w:sz w:val="22"/>
          <w:szCs w:val="22"/>
          <w:highlight w:val="none"/>
          <w:lang w:val="zh-CN"/>
        </w:rPr>
        <w:t>.1供应商应保证，采购人在中华人民共和国使用货物和服务的任何一部分时，免受第三方提出侵犯其专利权、商标权或其它知识产权的起诉。</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en-US" w:eastAsia="zh-CN"/>
        </w:rPr>
        <w:t>9</w:t>
      </w:r>
      <w:r>
        <w:rPr>
          <w:rFonts w:hint="eastAsia"/>
          <w:b/>
          <w:color w:val="auto"/>
          <w:sz w:val="22"/>
          <w:szCs w:val="22"/>
          <w:highlight w:val="none"/>
          <w:lang w:val="zh-CN"/>
        </w:rPr>
        <w:t>.2投标供应商应对采购人在使用该产品时所涉及到的专利权负责，不损害采购人的利益。</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en-US" w:eastAsia="zh-CN"/>
        </w:rPr>
        <w:t>9</w:t>
      </w:r>
      <w:r>
        <w:rPr>
          <w:rFonts w:hint="eastAsia"/>
          <w:b/>
          <w:color w:val="auto"/>
          <w:sz w:val="22"/>
          <w:szCs w:val="22"/>
          <w:highlight w:val="none"/>
          <w:lang w:val="zh-CN"/>
        </w:rPr>
        <w:t>.3投标报价应包括所有应支付的对专利权和版权、设计或其他知识产权而需要向其他方支付的版税。</w:t>
      </w:r>
    </w:p>
    <w:p>
      <w:pPr>
        <w:adjustRightInd w:val="0"/>
        <w:spacing w:line="400" w:lineRule="exact"/>
        <w:ind w:firstLine="433" w:firstLineChars="196"/>
        <w:rPr>
          <w:rFonts w:hint="eastAsia"/>
          <w:b/>
          <w:color w:val="auto"/>
          <w:sz w:val="22"/>
          <w:szCs w:val="22"/>
          <w:highlight w:val="none"/>
          <w:lang w:val="en-US" w:eastAsia="zh-CN"/>
        </w:rPr>
      </w:pPr>
      <w:r>
        <w:rPr>
          <w:rFonts w:hint="eastAsia"/>
          <w:b/>
          <w:color w:val="auto"/>
          <w:sz w:val="22"/>
          <w:szCs w:val="22"/>
          <w:highlight w:val="none"/>
          <w:lang w:val="en-US" w:eastAsia="zh-CN"/>
        </w:rPr>
        <w:t>9</w:t>
      </w:r>
      <w:r>
        <w:rPr>
          <w:rFonts w:hint="eastAsia"/>
          <w:b/>
          <w:color w:val="auto"/>
          <w:sz w:val="22"/>
          <w:szCs w:val="22"/>
          <w:highlight w:val="none"/>
          <w:lang w:val="zh-CN"/>
        </w:rPr>
        <w:t>.4投标供应商提供的货物中如使用其他公司的相关专利，应在标书中出示相关授权，如未出示但使用了其他公司的专利，导致供应商中标而引起相关诉讼，由投标供应商承担。</w:t>
      </w:r>
    </w:p>
    <w:p>
      <w:pPr>
        <w:pStyle w:val="8"/>
        <w:numPr>
          <w:ilvl w:val="0"/>
          <w:numId w:val="0"/>
        </w:numPr>
        <w:adjustRightInd w:val="0"/>
        <w:snapToGrid w:val="0"/>
        <w:spacing w:line="400" w:lineRule="exact"/>
        <w:ind w:firstLine="442" w:firstLineChars="200"/>
        <w:rPr>
          <w:rFonts w:hint="eastAsia" w:ascii="宋体" w:hAnsi="宋体" w:cs="宋体"/>
          <w:b/>
          <w:color w:val="auto"/>
          <w:sz w:val="22"/>
          <w:szCs w:val="22"/>
          <w:highlight w:val="none"/>
          <w:lang w:val="zh-CN"/>
        </w:rPr>
      </w:pPr>
      <w:r>
        <w:rPr>
          <w:rFonts w:hint="eastAsia" w:ascii="宋体" w:hAnsi="宋体" w:cs="宋体"/>
          <w:b/>
          <w:color w:val="auto"/>
          <w:sz w:val="22"/>
          <w:szCs w:val="22"/>
          <w:highlight w:val="none"/>
          <w:lang w:val="en-US" w:eastAsia="zh-CN"/>
        </w:rPr>
        <w:t>10.</w:t>
      </w:r>
      <w:r>
        <w:rPr>
          <w:rFonts w:hint="eastAsia" w:ascii="宋体" w:hAnsi="宋体" w:cs="宋体"/>
          <w:b/>
          <w:color w:val="auto"/>
          <w:sz w:val="22"/>
          <w:szCs w:val="22"/>
          <w:highlight w:val="non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pPr>
        <w:pStyle w:val="8"/>
        <w:adjustRightInd w:val="0"/>
        <w:snapToGrid w:val="0"/>
        <w:spacing w:line="400" w:lineRule="exact"/>
        <w:ind w:firstLine="442"/>
        <w:rPr>
          <w:rFonts w:hint="eastAsia" w:ascii="仿宋_GB2312" w:eastAsia="仿宋_GB2312"/>
          <w:b/>
          <w:color w:val="auto"/>
          <w:sz w:val="24"/>
          <w:highlight w:val="none"/>
        </w:rPr>
      </w:pPr>
      <w:r>
        <w:rPr>
          <w:rFonts w:hint="eastAsia" w:ascii="宋体" w:hAnsi="宋体" w:cs="宋体"/>
          <w:b/>
          <w:color w:val="auto"/>
          <w:sz w:val="22"/>
          <w:szCs w:val="22"/>
          <w:highlight w:val="none"/>
          <w:lang w:val="en-US" w:eastAsia="zh-CN"/>
        </w:rPr>
        <w:t>11.</w:t>
      </w:r>
      <w:r>
        <w:rPr>
          <w:rFonts w:hint="eastAsia" w:ascii="宋体" w:hAnsi="宋体" w:cs="宋体"/>
          <w:b/>
          <w:color w:val="auto"/>
          <w:sz w:val="22"/>
          <w:szCs w:val="22"/>
          <w:highlight w:val="none"/>
          <w:lang w:val="zh-CN"/>
        </w:rPr>
        <w:t>▲</w:t>
      </w:r>
      <w:r>
        <w:rPr>
          <w:rFonts w:hint="eastAsia" w:ascii="宋体" w:hAnsi="宋体" w:cs="宋体"/>
          <w:b/>
          <w:color w:val="auto"/>
          <w:sz w:val="22"/>
          <w:szCs w:val="22"/>
          <w:highlight w:val="none"/>
        </w:rPr>
        <w:t>本次采购</w:t>
      </w:r>
      <w:r>
        <w:rPr>
          <w:rFonts w:hint="eastAsia" w:ascii="宋体" w:hAnsi="宋体" w:cs="宋体"/>
          <w:b/>
          <w:color w:val="auto"/>
          <w:sz w:val="22"/>
          <w:szCs w:val="22"/>
          <w:highlight w:val="none"/>
          <w:lang w:val="en-US" w:eastAsia="zh-CN"/>
        </w:rPr>
        <w:t>最高限价480万。</w:t>
      </w:r>
      <w:r>
        <w:rPr>
          <w:rFonts w:hint="eastAsia" w:ascii="宋体" w:hAnsi="宋体"/>
          <w:b/>
          <w:color w:val="auto"/>
          <w:sz w:val="22"/>
          <w:szCs w:val="22"/>
          <w:highlight w:val="none"/>
        </w:rPr>
        <w:t>供应商投标报价超出该采购最高限价，该供应商按无效投标处理。</w:t>
      </w:r>
    </w:p>
    <w:p>
      <w:pPr>
        <w:pStyle w:val="8"/>
        <w:numPr>
          <w:ilvl w:val="0"/>
          <w:numId w:val="0"/>
        </w:numPr>
        <w:adjustRightInd w:val="0"/>
        <w:snapToGrid w:val="0"/>
        <w:spacing w:line="400" w:lineRule="exact"/>
        <w:ind w:firstLine="442" w:firstLineChars="200"/>
        <w:rPr>
          <w:rFonts w:hint="eastAsia" w:ascii="宋体" w:hAnsi="宋体" w:cs="宋体"/>
          <w:b/>
          <w:color w:val="auto"/>
          <w:sz w:val="22"/>
          <w:szCs w:val="22"/>
          <w:highlight w:val="none"/>
        </w:rPr>
      </w:pPr>
      <w:r>
        <w:rPr>
          <w:rFonts w:hint="eastAsia" w:ascii="宋体" w:hAnsi="宋体" w:cs="宋体"/>
          <w:b/>
          <w:color w:val="auto"/>
          <w:sz w:val="22"/>
          <w:szCs w:val="22"/>
          <w:highlight w:val="none"/>
          <w:lang w:val="en-US" w:eastAsia="zh-CN"/>
        </w:rPr>
        <w:t>12.</w:t>
      </w:r>
      <w:r>
        <w:rPr>
          <w:rFonts w:hint="eastAsia" w:ascii="宋体" w:hAnsi="宋体" w:cs="宋体"/>
          <w:b/>
          <w:color w:val="auto"/>
          <w:sz w:val="22"/>
          <w:szCs w:val="22"/>
          <w:highlight w:val="none"/>
        </w:rPr>
        <w:t>本次招标项目采用固定总价</w:t>
      </w:r>
      <w:r>
        <w:rPr>
          <w:rFonts w:hint="eastAsia" w:ascii="宋体" w:hAnsi="宋体" w:cs="宋体"/>
          <w:b/>
          <w:color w:val="auto"/>
          <w:sz w:val="22"/>
          <w:szCs w:val="22"/>
          <w:highlight w:val="none"/>
          <w:lang w:val="en-US" w:eastAsia="zh-CN"/>
        </w:rPr>
        <w:t>承包</w:t>
      </w:r>
      <w:r>
        <w:rPr>
          <w:rFonts w:hint="eastAsia" w:ascii="宋体" w:hAnsi="宋体" w:cs="宋体"/>
          <w:b/>
          <w:color w:val="auto"/>
          <w:sz w:val="22"/>
          <w:szCs w:val="22"/>
          <w:highlight w:val="none"/>
        </w:rPr>
        <w:t>。报价是招标文件所确定的招标范围内的全部工作内容的价格体现，包括货物的采购、制造、检测、试验、至最终目的地的运费和保险费、现场仓储、税费以及安装、调试、测试、验收、技术服务（包括技术资料的提供）、质保期内维护、质保期内售后服务等完成合同所需的一切本身和不可或缺的所有工作开支、政策性文件规定等全部费用，如有遗漏，视同包括在其他项目中，合同总价和单价均不作调整。除发生下列因素可调整合同价外，不得以任何其他理由调整任何费用。</w:t>
      </w:r>
    </w:p>
    <w:p>
      <w:pPr>
        <w:adjustRightInd w:val="0"/>
        <w:snapToGrid w:val="0"/>
        <w:spacing w:line="400" w:lineRule="exact"/>
        <w:ind w:firstLine="420"/>
        <w:rPr>
          <w:rFonts w:hint="eastAsia"/>
          <w:b/>
          <w:bCs/>
          <w:color w:val="auto"/>
          <w:sz w:val="22"/>
          <w:szCs w:val="22"/>
          <w:highlight w:val="none"/>
          <w:lang w:val="en-US" w:eastAsia="zh-CN"/>
        </w:rPr>
      </w:pPr>
      <w:r>
        <w:rPr>
          <w:rFonts w:hint="eastAsia"/>
          <w:b/>
          <w:bCs/>
          <w:color w:val="auto"/>
          <w:sz w:val="22"/>
          <w:szCs w:val="22"/>
          <w:highlight w:val="none"/>
          <w:lang w:val="en-US" w:eastAsia="zh-CN"/>
        </w:rPr>
        <w:t>13.节能产品政府采购清单</w:t>
      </w:r>
    </w:p>
    <w:p>
      <w:pPr>
        <w:adjustRightInd w:val="0"/>
        <w:snapToGrid w:val="0"/>
        <w:spacing w:line="400" w:lineRule="exact"/>
        <w:ind w:firstLine="420"/>
        <w:rPr>
          <w:rFonts w:hint="eastAsia" w:ascii="宋体" w:hAnsi="宋体"/>
          <w:b/>
          <w:bCs/>
          <w:color w:val="auto"/>
          <w:sz w:val="22"/>
          <w:szCs w:val="22"/>
          <w:highlight w:val="none"/>
          <w:lang w:val="en-US" w:eastAsia="zh-CN"/>
        </w:rPr>
      </w:pPr>
      <w:r>
        <w:rPr>
          <w:rFonts w:hint="eastAsia"/>
          <w:b/>
          <w:bCs/>
          <w:color w:val="auto"/>
          <w:sz w:val="22"/>
          <w:szCs w:val="22"/>
          <w:highlight w:val="none"/>
          <w:lang w:val="en-US" w:eastAsia="zh-CN"/>
        </w:rPr>
        <w:t>13.1本次拟采购</w:t>
      </w:r>
      <w:r>
        <w:rPr>
          <w:rFonts w:hint="eastAsia" w:ascii="宋体" w:hAnsi="宋体"/>
          <w:b/>
          <w:bCs/>
          <w:color w:val="auto"/>
          <w:sz w:val="22"/>
          <w:szCs w:val="22"/>
          <w:highlight w:val="none"/>
          <w:lang w:val="en-US" w:eastAsia="zh-CN"/>
        </w:rPr>
        <w:t>产品</w:t>
      </w:r>
      <w:r>
        <w:rPr>
          <w:rFonts w:hint="eastAsia"/>
          <w:b/>
          <w:bCs/>
          <w:color w:val="auto"/>
          <w:sz w:val="22"/>
          <w:szCs w:val="22"/>
          <w:highlight w:val="none"/>
          <w:lang w:val="en-US" w:eastAsia="zh-CN"/>
        </w:rPr>
        <w:t>中</w:t>
      </w:r>
      <w:r>
        <w:rPr>
          <w:rFonts w:hint="eastAsia" w:ascii="宋体" w:hAnsi="宋体"/>
          <w:b/>
          <w:bCs/>
          <w:color w:val="auto"/>
          <w:sz w:val="22"/>
          <w:szCs w:val="22"/>
          <w:highlight w:val="none"/>
          <w:lang w:val="en-US" w:eastAsia="zh-CN"/>
        </w:rPr>
        <w:t>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w:t>
      </w:r>
    </w:p>
    <w:p>
      <w:pPr>
        <w:adjustRightInd w:val="0"/>
        <w:snapToGrid w:val="0"/>
        <w:spacing w:line="400" w:lineRule="exact"/>
        <w:ind w:firstLine="420"/>
        <w:rPr>
          <w:rFonts w:hint="eastAsia"/>
          <w:b/>
          <w:color w:val="auto"/>
          <w:sz w:val="22"/>
          <w:szCs w:val="22"/>
          <w:highlight w:val="none"/>
        </w:rPr>
      </w:pPr>
      <w:r>
        <w:rPr>
          <w:rFonts w:hint="eastAsia"/>
          <w:b/>
          <w:bCs/>
          <w:color w:val="auto"/>
          <w:sz w:val="22"/>
          <w:szCs w:val="22"/>
          <w:highlight w:val="none"/>
          <w:lang w:val="en-US" w:eastAsia="zh-CN"/>
        </w:rPr>
        <w:t>13.2本次拟采购</w:t>
      </w:r>
      <w:r>
        <w:rPr>
          <w:rFonts w:hint="eastAsia" w:ascii="宋体" w:hAnsi="宋体"/>
          <w:b/>
          <w:bCs/>
          <w:color w:val="auto"/>
          <w:sz w:val="22"/>
          <w:szCs w:val="22"/>
          <w:highlight w:val="none"/>
          <w:lang w:val="en-US" w:eastAsia="zh-CN"/>
        </w:rPr>
        <w:t>产品</w:t>
      </w:r>
      <w:r>
        <w:rPr>
          <w:rFonts w:hint="eastAsia"/>
          <w:b/>
          <w:bCs/>
          <w:color w:val="auto"/>
          <w:sz w:val="22"/>
          <w:szCs w:val="22"/>
          <w:highlight w:val="none"/>
          <w:lang w:val="en-US" w:eastAsia="zh-CN"/>
        </w:rPr>
        <w:t>中</w:t>
      </w:r>
      <w:r>
        <w:rPr>
          <w:rFonts w:hint="eastAsia" w:ascii="宋体" w:hAnsi="宋体"/>
          <w:b/>
          <w:bCs/>
          <w:color w:val="auto"/>
          <w:sz w:val="22"/>
          <w:szCs w:val="22"/>
          <w:highlight w:val="none"/>
          <w:lang w:val="en-US" w:eastAsia="zh-CN"/>
        </w:rPr>
        <w:t>属于政府强制采购的节能产品品目清单范围的，投标人未按招标文件要求提供市场监管总局确定的认证机构出具的、处于有效期之内的节能产品认证证书，</w:t>
      </w:r>
      <w:r>
        <w:rPr>
          <w:rFonts w:hint="eastAsia"/>
          <w:b/>
          <w:bCs/>
          <w:color w:val="auto"/>
          <w:sz w:val="22"/>
          <w:szCs w:val="22"/>
          <w:highlight w:val="none"/>
          <w:lang w:val="en-US" w:eastAsia="zh-CN"/>
        </w:rPr>
        <w:t>本次</w:t>
      </w:r>
      <w:r>
        <w:rPr>
          <w:rFonts w:hint="eastAsia" w:ascii="宋体" w:hAnsi="宋体"/>
          <w:b/>
          <w:bCs/>
          <w:color w:val="auto"/>
          <w:sz w:val="22"/>
          <w:szCs w:val="22"/>
          <w:highlight w:val="none"/>
          <w:lang w:val="en-US" w:eastAsia="zh-CN"/>
        </w:rPr>
        <w:t>投标</w:t>
      </w:r>
      <w:r>
        <w:rPr>
          <w:rFonts w:hint="eastAsia"/>
          <w:b/>
          <w:bCs/>
          <w:color w:val="auto"/>
          <w:sz w:val="22"/>
          <w:szCs w:val="22"/>
          <w:highlight w:val="none"/>
          <w:lang w:val="en-US" w:eastAsia="zh-CN"/>
        </w:rPr>
        <w:t>按</w:t>
      </w:r>
      <w:r>
        <w:rPr>
          <w:rFonts w:hint="eastAsia" w:ascii="宋体" w:hAnsi="宋体"/>
          <w:b/>
          <w:bCs/>
          <w:color w:val="auto"/>
          <w:sz w:val="22"/>
          <w:szCs w:val="22"/>
          <w:highlight w:val="none"/>
          <w:lang w:val="en-US" w:eastAsia="zh-CN"/>
        </w:rPr>
        <w:t>无效</w:t>
      </w:r>
      <w:r>
        <w:rPr>
          <w:rFonts w:hint="eastAsia"/>
          <w:b/>
          <w:bCs/>
          <w:color w:val="auto"/>
          <w:sz w:val="22"/>
          <w:szCs w:val="22"/>
          <w:highlight w:val="none"/>
          <w:lang w:val="en-US" w:eastAsia="zh-CN"/>
        </w:rPr>
        <w:t>处理</w:t>
      </w:r>
      <w:r>
        <w:rPr>
          <w:rFonts w:hint="eastAsia" w:ascii="宋体" w:hAnsi="宋体"/>
          <w:b/>
          <w:bCs/>
          <w:color w:val="auto"/>
          <w:sz w:val="22"/>
          <w:szCs w:val="22"/>
          <w:highlight w:val="none"/>
          <w:lang w:val="en-US" w:eastAsia="zh-CN"/>
        </w:rPr>
        <w:t>。</w:t>
      </w:r>
    </w:p>
    <w:p>
      <w:pPr>
        <w:snapToGrid w:val="0"/>
        <w:spacing w:line="400" w:lineRule="exact"/>
        <w:ind w:firstLine="420" w:firstLineChars="190"/>
        <w:rPr>
          <w:rFonts w:hint="eastAsia"/>
          <w:b/>
          <w:color w:val="auto"/>
          <w:sz w:val="22"/>
          <w:szCs w:val="22"/>
          <w:highlight w:val="none"/>
          <w:lang w:val="zh-CN"/>
        </w:rPr>
      </w:pPr>
      <w:r>
        <w:rPr>
          <w:rFonts w:hint="eastAsia"/>
          <w:b/>
          <w:color w:val="auto"/>
          <w:sz w:val="22"/>
          <w:szCs w:val="22"/>
          <w:highlight w:val="none"/>
        </w:rPr>
        <w:t>1</w:t>
      </w:r>
      <w:r>
        <w:rPr>
          <w:rFonts w:hint="eastAsia"/>
          <w:b/>
          <w:color w:val="auto"/>
          <w:sz w:val="22"/>
          <w:szCs w:val="22"/>
          <w:highlight w:val="none"/>
          <w:lang w:val="en-US" w:eastAsia="zh-CN"/>
        </w:rPr>
        <w:t>4.</w:t>
      </w:r>
      <w:r>
        <w:rPr>
          <w:rFonts w:hint="eastAsia"/>
          <w:b/>
          <w:color w:val="auto"/>
          <w:sz w:val="22"/>
          <w:szCs w:val="22"/>
          <w:highlight w:val="none"/>
          <w:lang w:val="zh-CN"/>
        </w:rPr>
        <w:t>投标供应商信用信息查询渠道及截止时点、信用信息查询记录和证据留存的具体方式、信用信息的使用规则等：</w:t>
      </w:r>
    </w:p>
    <w:p>
      <w:pPr>
        <w:snapToGrid w:val="0"/>
        <w:spacing w:line="400" w:lineRule="exact"/>
        <w:ind w:firstLine="418" w:firstLineChars="190"/>
        <w:rPr>
          <w:rFonts w:hint="eastAsia"/>
          <w:color w:val="auto"/>
          <w:sz w:val="22"/>
          <w:szCs w:val="22"/>
          <w:highlight w:val="none"/>
          <w:lang w:val="zh-CN"/>
        </w:rPr>
      </w:pPr>
      <w:r>
        <w:rPr>
          <w:rFonts w:hint="eastAsia"/>
          <w:color w:val="auto"/>
          <w:sz w:val="22"/>
          <w:szCs w:val="22"/>
          <w:highlight w:val="none"/>
          <w:lang w:val="zh-CN"/>
        </w:rPr>
        <w:t>1）投标供应商信用信息查询的查询渠道：“信用中国”(</w:t>
      </w:r>
      <w:r>
        <w:rPr>
          <w:rFonts w:hint="eastAsia"/>
          <w:color w:val="auto"/>
          <w:sz w:val="22"/>
          <w:szCs w:val="22"/>
          <w:highlight w:val="none"/>
          <w:lang w:val="zh-CN"/>
        </w:rPr>
        <w:fldChar w:fldCharType="begin"/>
      </w:r>
      <w:r>
        <w:rPr>
          <w:rFonts w:hint="eastAsia"/>
          <w:color w:val="auto"/>
          <w:sz w:val="22"/>
          <w:szCs w:val="22"/>
          <w:highlight w:val="none"/>
          <w:lang w:val="zh-CN"/>
        </w:rPr>
        <w:instrText xml:space="preserve">HYPERLINK "www.creditchina.gov.cn"</w:instrText>
      </w:r>
      <w:r>
        <w:rPr>
          <w:rFonts w:hint="eastAsia"/>
          <w:color w:val="auto"/>
          <w:sz w:val="22"/>
          <w:szCs w:val="22"/>
          <w:highlight w:val="none"/>
          <w:lang w:val="zh-CN"/>
        </w:rPr>
        <w:fldChar w:fldCharType="separate"/>
      </w:r>
      <w:r>
        <w:rPr>
          <w:rFonts w:hint="eastAsia"/>
          <w:color w:val="auto"/>
          <w:sz w:val="22"/>
          <w:szCs w:val="22"/>
          <w:highlight w:val="none"/>
          <w:lang w:val="zh-CN"/>
        </w:rPr>
        <w:t>www.creditchina.gov.cn</w:t>
      </w:r>
      <w:r>
        <w:rPr>
          <w:rFonts w:hint="eastAsia"/>
          <w:color w:val="auto"/>
          <w:sz w:val="22"/>
          <w:szCs w:val="22"/>
          <w:highlight w:val="none"/>
          <w:lang w:val="zh-CN"/>
        </w:rPr>
        <w:fldChar w:fldCharType="end"/>
      </w:r>
      <w:r>
        <w:rPr>
          <w:rFonts w:hint="eastAsia"/>
          <w:color w:val="auto"/>
          <w:sz w:val="22"/>
          <w:szCs w:val="22"/>
          <w:highlight w:val="none"/>
          <w:lang w:val="zh-CN"/>
        </w:rPr>
        <w:t>)；“中国政府采购网”（</w:t>
      </w:r>
      <w:r>
        <w:rPr>
          <w:rFonts w:hint="eastAsia"/>
          <w:color w:val="auto"/>
          <w:sz w:val="22"/>
          <w:szCs w:val="22"/>
          <w:highlight w:val="none"/>
          <w:lang w:val="zh-CN"/>
        </w:rPr>
        <w:fldChar w:fldCharType="begin"/>
      </w:r>
      <w:r>
        <w:rPr>
          <w:rFonts w:hint="eastAsia"/>
          <w:color w:val="auto"/>
          <w:sz w:val="22"/>
          <w:szCs w:val="22"/>
          <w:highlight w:val="none"/>
          <w:lang w:val="zh-CN"/>
        </w:rPr>
        <w:instrText xml:space="preserve">HYPERLINK "http://www.ccgp.gov.cn/"</w:instrText>
      </w:r>
      <w:r>
        <w:rPr>
          <w:rFonts w:hint="eastAsia"/>
          <w:color w:val="auto"/>
          <w:sz w:val="22"/>
          <w:szCs w:val="22"/>
          <w:highlight w:val="none"/>
          <w:lang w:val="zh-CN"/>
        </w:rPr>
        <w:fldChar w:fldCharType="separate"/>
      </w:r>
      <w:r>
        <w:rPr>
          <w:rFonts w:hint="eastAsia"/>
          <w:color w:val="auto"/>
          <w:sz w:val="22"/>
          <w:szCs w:val="22"/>
          <w:highlight w:val="none"/>
          <w:lang w:val="zh-CN"/>
        </w:rPr>
        <w:t>http://www.ccgp.gov.cn/</w:t>
      </w:r>
      <w:r>
        <w:rPr>
          <w:rFonts w:hint="eastAsia"/>
          <w:color w:val="auto"/>
          <w:sz w:val="22"/>
          <w:szCs w:val="22"/>
          <w:highlight w:val="none"/>
          <w:lang w:val="zh-CN"/>
        </w:rPr>
        <w:fldChar w:fldCharType="end"/>
      </w:r>
      <w:r>
        <w:rPr>
          <w:rFonts w:hint="eastAsia"/>
          <w:color w:val="auto"/>
          <w:sz w:val="22"/>
          <w:szCs w:val="22"/>
          <w:highlight w:val="none"/>
          <w:lang w:val="zh-CN"/>
        </w:rPr>
        <w:t xml:space="preserve">）； </w:t>
      </w:r>
      <w:r>
        <w:rPr>
          <w:rFonts w:hint="eastAsia"/>
          <w:color w:val="auto"/>
          <w:sz w:val="22"/>
          <w:szCs w:val="22"/>
          <w:highlight w:val="none"/>
          <w:lang w:val="zh-CN"/>
        </w:rPr>
        <w:br w:type="textWrapping"/>
      </w:r>
      <w:r>
        <w:rPr>
          <w:rFonts w:hint="eastAsia"/>
          <w:color w:val="auto"/>
          <w:sz w:val="22"/>
          <w:szCs w:val="22"/>
          <w:highlight w:val="none"/>
          <w:lang w:val="zh-CN"/>
        </w:rPr>
        <w:t xml:space="preserve">    2）投标供应商信用信息查询截止时点：本项目投标截止时间； </w:t>
      </w:r>
      <w:r>
        <w:rPr>
          <w:rFonts w:hint="eastAsia"/>
          <w:color w:val="auto"/>
          <w:sz w:val="22"/>
          <w:szCs w:val="22"/>
          <w:highlight w:val="none"/>
          <w:lang w:val="zh-CN"/>
        </w:rPr>
        <w:br w:type="textWrapping"/>
      </w:r>
      <w:r>
        <w:rPr>
          <w:rFonts w:hint="eastAsia"/>
          <w:color w:val="auto"/>
          <w:sz w:val="22"/>
          <w:szCs w:val="22"/>
          <w:highlight w:val="none"/>
          <w:lang w:val="zh-CN"/>
        </w:rPr>
        <w:t xml:space="preserve">    3）投标供应商信用信息查询记录和证据留存的具体方式：网页截图打印；</w:t>
      </w:r>
    </w:p>
    <w:p>
      <w:pPr>
        <w:snapToGrid w:val="0"/>
        <w:spacing w:line="400" w:lineRule="exact"/>
        <w:ind w:firstLine="418" w:firstLineChars="190"/>
        <w:rPr>
          <w:rFonts w:hint="eastAsia"/>
          <w:color w:val="auto"/>
          <w:sz w:val="22"/>
          <w:szCs w:val="22"/>
          <w:highlight w:val="none"/>
          <w:lang w:val="zh-CN"/>
        </w:rPr>
      </w:pPr>
      <w:r>
        <w:rPr>
          <w:rFonts w:hint="eastAsia"/>
          <w:color w:val="auto"/>
          <w:sz w:val="22"/>
          <w:szCs w:val="22"/>
          <w:highlight w:val="none"/>
        </w:rPr>
        <w:t>4）</w:t>
      </w:r>
      <w:r>
        <w:rPr>
          <w:rFonts w:hint="eastAsia"/>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33" w:firstLineChars="196"/>
        <w:textAlignment w:val="bottom"/>
        <w:rPr>
          <w:rFonts w:hint="eastAsia"/>
          <w:b/>
          <w:color w:val="auto"/>
          <w:sz w:val="22"/>
          <w:highlight w:val="none"/>
          <w:u w:val="single"/>
        </w:rPr>
      </w:pPr>
      <w:r>
        <w:rPr>
          <w:rFonts w:hint="eastAsia"/>
          <w:b/>
          <w:color w:val="auto"/>
          <w:sz w:val="22"/>
          <w:szCs w:val="22"/>
          <w:highlight w:val="none"/>
        </w:rPr>
        <w:t>1</w:t>
      </w:r>
      <w:r>
        <w:rPr>
          <w:rFonts w:hint="eastAsia"/>
          <w:b/>
          <w:color w:val="auto"/>
          <w:sz w:val="22"/>
          <w:szCs w:val="22"/>
          <w:highlight w:val="none"/>
          <w:lang w:val="en-US" w:eastAsia="zh-CN"/>
        </w:rPr>
        <w:t>5.</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hint="eastAsia" w:cs="黑体"/>
          <w:b/>
          <w:color w:val="auto"/>
          <w:sz w:val="22"/>
          <w:szCs w:val="22"/>
          <w:highlight w:val="none"/>
        </w:rPr>
      </w:pPr>
      <w:r>
        <w:rPr>
          <w:rFonts w:hint="eastAsia" w:cs="黑体"/>
          <w:b/>
          <w:color w:val="auto"/>
          <w:sz w:val="22"/>
          <w:szCs w:val="22"/>
          <w:highlight w:val="none"/>
        </w:rPr>
        <w:t>1</w:t>
      </w:r>
      <w:r>
        <w:rPr>
          <w:rFonts w:hint="eastAsia" w:cs="黑体"/>
          <w:b/>
          <w:color w:val="auto"/>
          <w:sz w:val="22"/>
          <w:szCs w:val="22"/>
          <w:highlight w:val="none"/>
          <w:lang w:val="en-US" w:eastAsia="zh-CN"/>
        </w:rPr>
        <w:t>6.</w:t>
      </w:r>
      <w:r>
        <w:rPr>
          <w:rFonts w:hint="eastAsia" w:cs="黑体"/>
          <w:color w:val="auto"/>
          <w:sz w:val="22"/>
          <w:szCs w:val="22"/>
          <w:highlight w:val="none"/>
        </w:rPr>
        <w:t>本项目采用在线投标响应方式，执行《浙江省财政厅关于印发浙江省政府采购项目电子交易管理暂行办法的通知》（浙财采监〔</w:t>
      </w:r>
      <w:r>
        <w:rPr>
          <w:rFonts w:cs="黑体"/>
          <w:color w:val="auto"/>
          <w:sz w:val="22"/>
          <w:szCs w:val="22"/>
          <w:highlight w:val="none"/>
        </w:rPr>
        <w:t>2019〕10号）等相关规定</w:t>
      </w:r>
      <w:r>
        <w:rPr>
          <w:rFonts w:cs="黑体"/>
          <w:b/>
          <w:color w:val="auto"/>
          <w:sz w:val="22"/>
          <w:szCs w:val="22"/>
          <w:highlight w:val="none"/>
        </w:rPr>
        <w:t>。</w:t>
      </w:r>
    </w:p>
    <w:p>
      <w:pPr>
        <w:autoSpaceDE w:val="0"/>
        <w:autoSpaceDN w:val="0"/>
        <w:adjustRightInd w:val="0"/>
        <w:snapToGrid w:val="0"/>
        <w:spacing w:line="460" w:lineRule="atLeast"/>
        <w:ind w:firstLine="422" w:firstLineChars="191"/>
        <w:textAlignment w:val="bottom"/>
        <w:rPr>
          <w:rFonts w:hint="eastAsia" w:cs="黑体"/>
          <w:b/>
          <w:color w:val="auto"/>
          <w:sz w:val="22"/>
          <w:szCs w:val="22"/>
          <w:highlight w:val="none"/>
        </w:rPr>
      </w:pPr>
      <w:r>
        <w:rPr>
          <w:rFonts w:hint="eastAsia" w:cs="黑体"/>
          <w:b/>
          <w:color w:val="auto"/>
          <w:sz w:val="22"/>
          <w:szCs w:val="22"/>
          <w:highlight w:val="none"/>
        </w:rPr>
        <w:t>1</w:t>
      </w:r>
      <w:r>
        <w:rPr>
          <w:rFonts w:hint="eastAsia" w:cs="黑体"/>
          <w:b/>
          <w:color w:val="auto"/>
          <w:sz w:val="22"/>
          <w:szCs w:val="22"/>
          <w:highlight w:val="none"/>
          <w:lang w:val="en-US" w:eastAsia="zh-CN"/>
        </w:rPr>
        <w:t>7.</w:t>
      </w:r>
      <w:r>
        <w:rPr>
          <w:rFonts w:cs="黑体"/>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hint="eastAsia"/>
          <w:b/>
          <w:color w:val="auto"/>
          <w:sz w:val="22"/>
          <w:szCs w:val="22"/>
          <w:highlight w:val="none"/>
          <w:u w:val="single"/>
        </w:rPr>
      </w:pPr>
      <w:r>
        <w:rPr>
          <w:rFonts w:hint="eastAsia"/>
          <w:b/>
          <w:color w:val="auto"/>
          <w:sz w:val="22"/>
          <w:szCs w:val="22"/>
          <w:highlight w:val="none"/>
          <w:u w:val="single"/>
        </w:rPr>
        <w:t>1</w:t>
      </w:r>
      <w:r>
        <w:rPr>
          <w:rFonts w:hint="eastAsia"/>
          <w:b/>
          <w:color w:val="auto"/>
          <w:sz w:val="22"/>
          <w:szCs w:val="22"/>
          <w:highlight w:val="none"/>
          <w:u w:val="single"/>
          <w:lang w:val="en-US" w:eastAsia="zh-CN"/>
        </w:rPr>
        <w:t>8.</w:t>
      </w:r>
      <w:r>
        <w:rPr>
          <w:rFonts w:hint="eastAsia"/>
          <w:b/>
          <w:color w:val="auto"/>
          <w:sz w:val="22"/>
          <w:szCs w:val="22"/>
          <w:highlight w:val="none"/>
          <w:u w:val="single"/>
        </w:rPr>
        <w:t>为保证供应商顺利投标，供应商须在投标截止日前自行登录温州市公共资源交易网平阳县分网或浙江省政府采购网（</w:t>
      </w:r>
      <w:r>
        <w:rPr>
          <w:b/>
          <w:color w:val="auto"/>
          <w:sz w:val="22"/>
          <w:szCs w:val="22"/>
          <w:highlight w:val="none"/>
          <w:u w:val="single"/>
        </w:rPr>
        <w:t>http:// www.pyztb.com /</w:t>
      </w:r>
      <w:r>
        <w:rPr>
          <w:rFonts w:hint="eastAsia"/>
          <w:b/>
          <w:color w:val="auto"/>
          <w:sz w:val="22"/>
          <w:szCs w:val="22"/>
          <w:highlight w:val="none"/>
          <w:u w:val="single"/>
        </w:rPr>
        <w:t>或http://www.zjzfcg.gov.cn），查看是否有补充更正公告文件。如供应商未按补充更正公告文件进行投标的，责任自负。</w:t>
      </w:r>
    </w:p>
    <w:p>
      <w:pPr>
        <w:autoSpaceDE w:val="0"/>
        <w:autoSpaceDN w:val="0"/>
        <w:adjustRightInd w:val="0"/>
        <w:snapToGrid w:val="0"/>
        <w:spacing w:line="420" w:lineRule="exact"/>
        <w:textAlignment w:val="bottom"/>
        <w:rPr>
          <w:rFonts w:hint="eastAsia"/>
          <w:color w:val="auto"/>
          <w:sz w:val="22"/>
          <w:szCs w:val="22"/>
          <w:highlight w:val="none"/>
        </w:rPr>
      </w:pPr>
      <w:r>
        <w:rPr>
          <w:rFonts w:hint="eastAsia"/>
          <w:color w:val="auto"/>
          <w:sz w:val="22"/>
          <w:szCs w:val="22"/>
          <w:highlight w:val="none"/>
        </w:rPr>
        <w:t>二、供应商资格要求</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按招标公告要求</w:t>
      </w:r>
    </w:p>
    <w:p>
      <w:pPr>
        <w:autoSpaceDE w:val="0"/>
        <w:autoSpaceDN w:val="0"/>
        <w:adjustRightInd w:val="0"/>
        <w:snapToGrid w:val="0"/>
        <w:spacing w:line="420" w:lineRule="exact"/>
        <w:textAlignment w:val="bottom"/>
        <w:rPr>
          <w:rFonts w:hint="eastAsia"/>
          <w:color w:val="auto"/>
          <w:sz w:val="22"/>
          <w:szCs w:val="22"/>
          <w:highlight w:val="none"/>
        </w:rPr>
      </w:pPr>
      <w:r>
        <w:rPr>
          <w:rFonts w:hint="eastAsia"/>
          <w:color w:val="auto"/>
          <w:sz w:val="22"/>
          <w:szCs w:val="22"/>
          <w:highlight w:val="none"/>
        </w:rPr>
        <w:t>三、招标文件</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1、招标文件</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1.1招标文件发放</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1.2招标文件约束力</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u w:val="single"/>
        </w:rPr>
      </w:pPr>
      <w:r>
        <w:rPr>
          <w:rFonts w:hint="eastAsia"/>
          <w:color w:val="auto"/>
          <w:sz w:val="22"/>
          <w:szCs w:val="22"/>
          <w:highlight w:val="none"/>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1.3招标文件的组成</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2、招标文件的澄清</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供应商对招标文件如有疑点要求澄清，可用书面形式（包括信函、传真，下同）通知</w:t>
      </w:r>
      <w:r>
        <w:rPr>
          <w:rFonts w:hint="eastAsia"/>
          <w:color w:val="auto"/>
          <w:sz w:val="22"/>
          <w:szCs w:val="22"/>
          <w:highlight w:val="none"/>
          <w:u w:val="single"/>
        </w:rPr>
        <w:t>招标代理机构</w:t>
      </w:r>
      <w:r>
        <w:rPr>
          <w:rFonts w:hint="eastAsia"/>
          <w:color w:val="auto"/>
          <w:sz w:val="22"/>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3、招标文件的修改</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hint="eastAsia"/>
          <w:color w:val="auto"/>
          <w:sz w:val="22"/>
          <w:szCs w:val="22"/>
          <w:highlight w:val="none"/>
        </w:rPr>
      </w:pPr>
      <w:r>
        <w:rPr>
          <w:rFonts w:hint="eastAsia"/>
          <w:color w:val="auto"/>
          <w:sz w:val="22"/>
          <w:szCs w:val="22"/>
          <w:highlight w:val="none"/>
        </w:rPr>
        <w:t>四、投标文件</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1、投标文件</w:t>
      </w:r>
    </w:p>
    <w:p>
      <w:pPr>
        <w:autoSpaceDE w:val="0"/>
        <w:autoSpaceDN w:val="0"/>
        <w:adjustRightInd w:val="0"/>
        <w:snapToGrid w:val="0"/>
        <w:spacing w:line="420" w:lineRule="exact"/>
        <w:ind w:firstLine="440" w:firstLineChars="200"/>
        <w:textAlignment w:val="bottom"/>
        <w:rPr>
          <w:rFonts w:hint="eastAsia" w:cs="Arial"/>
          <w:color w:val="auto"/>
          <w:sz w:val="22"/>
          <w:szCs w:val="22"/>
          <w:highlight w:val="none"/>
        </w:rPr>
      </w:pPr>
      <w:r>
        <w:rPr>
          <w:rFonts w:hint="eastAsia" w:cs="仿宋_GB2312"/>
          <w:color w:val="auto"/>
          <w:sz w:val="22"/>
          <w:szCs w:val="22"/>
          <w:highlight w:val="none"/>
          <w:lang w:val="zh-CN"/>
        </w:rPr>
        <w:t>1.1</w:t>
      </w:r>
      <w:r>
        <w:rPr>
          <w:rFonts w:hint="eastAsia" w:cs="Arial"/>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hint="eastAsia" w:cs="Arial"/>
          <w:color w:val="auto"/>
          <w:sz w:val="22"/>
          <w:szCs w:val="22"/>
          <w:highlight w:val="none"/>
        </w:rPr>
      </w:pPr>
      <w:r>
        <w:rPr>
          <w:rFonts w:hint="eastAsia" w:cs="仿宋_GB2312"/>
          <w:color w:val="auto"/>
          <w:sz w:val="22"/>
          <w:szCs w:val="22"/>
          <w:highlight w:val="none"/>
          <w:lang w:val="zh-CN"/>
        </w:rPr>
        <w:t>1.2</w:t>
      </w:r>
      <w:r>
        <w:rPr>
          <w:rFonts w:hint="eastAsia" w:cs="Arial"/>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s="仿宋_GB2312"/>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 xml:space="preserve">2、投标文件的组成  </w:t>
      </w:r>
    </w:p>
    <w:p>
      <w:pPr>
        <w:autoSpaceDE w:val="0"/>
        <w:autoSpaceDN w:val="0"/>
        <w:adjustRightInd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rFonts w:hint="eastAsia"/>
          <w:b/>
          <w:color w:val="auto"/>
          <w:sz w:val="22"/>
          <w:szCs w:val="22"/>
          <w:highlight w:val="none"/>
          <w:u w:val="single"/>
        </w:rPr>
      </w:pPr>
      <w:r>
        <w:rPr>
          <w:rFonts w:hint="eastAsia"/>
          <w:b/>
          <w:color w:val="auto"/>
          <w:sz w:val="22"/>
          <w:szCs w:val="22"/>
          <w:highlight w:val="none"/>
          <w:lang w:val="zh-CN"/>
        </w:rPr>
        <w:t>2.1</w:t>
      </w:r>
      <w:r>
        <w:rPr>
          <w:rFonts w:hint="eastAsia"/>
          <w:b/>
          <w:color w:val="auto"/>
          <w:sz w:val="22"/>
          <w:szCs w:val="22"/>
          <w:highlight w:val="none"/>
          <w:u w:val="single"/>
        </w:rPr>
        <w:t>资格文件组成</w:t>
      </w:r>
    </w:p>
    <w:p>
      <w:pPr>
        <w:numPr>
          <w:ilvl w:val="0"/>
          <w:numId w:val="14"/>
        </w:numPr>
        <w:autoSpaceDE w:val="0"/>
        <w:autoSpaceDN w:val="0"/>
        <w:adjustRightInd w:val="0"/>
        <w:snapToGrid w:val="0"/>
        <w:spacing w:line="46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“资格文件”封面</w:t>
      </w:r>
    </w:p>
    <w:p>
      <w:pPr>
        <w:numPr>
          <w:ilvl w:val="0"/>
          <w:numId w:val="14"/>
        </w:numPr>
        <w:autoSpaceDE w:val="0"/>
        <w:autoSpaceDN w:val="0"/>
        <w:adjustRightInd w:val="0"/>
        <w:snapToGrid w:val="0"/>
        <w:spacing w:line="46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“资格文件”目录</w:t>
      </w:r>
    </w:p>
    <w:p>
      <w:pPr>
        <w:autoSpaceDE w:val="0"/>
        <w:autoSpaceDN w:val="0"/>
        <w:adjustRightInd w:val="0"/>
        <w:snapToGrid w:val="0"/>
        <w:spacing w:line="46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3）供应商资格审查声明函</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4）</w:t>
      </w:r>
      <w:r>
        <w:rPr>
          <w:rFonts w:hint="eastAsia"/>
          <w:b/>
          <w:color w:val="auto"/>
          <w:sz w:val="22"/>
          <w:szCs w:val="22"/>
          <w:highlight w:val="none"/>
        </w:rPr>
        <w:t>具有独立承担民事责任能力的证明材料：</w:t>
      </w:r>
      <w:r>
        <w:rPr>
          <w:rFonts w:hint="eastAsia"/>
          <w:color w:val="auto"/>
          <w:sz w:val="22"/>
          <w:szCs w:val="22"/>
          <w:highlight w:val="none"/>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5）</w:t>
      </w:r>
      <w:r>
        <w:rPr>
          <w:rFonts w:hint="eastAsia"/>
          <w:b/>
          <w:color w:val="auto"/>
          <w:sz w:val="22"/>
          <w:szCs w:val="22"/>
          <w:highlight w:val="none"/>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color w:val="auto"/>
          <w:sz w:val="22"/>
          <w:szCs w:val="22"/>
          <w:highlight w:val="none"/>
        </w:rPr>
        <w:t>（供应商成立时间未满一年的可以不提供，提供</w:t>
      </w:r>
      <w:r>
        <w:rPr>
          <w:rFonts w:hint="eastAsia" w:cs="Arial"/>
          <w:color w:val="auto"/>
          <w:sz w:val="22"/>
          <w:szCs w:val="22"/>
          <w:highlight w:val="none"/>
        </w:rPr>
        <w:t>复印件</w:t>
      </w:r>
      <w:r>
        <w:rPr>
          <w:rFonts w:hint="eastAsia"/>
          <w:color w:val="auto"/>
          <w:sz w:val="22"/>
          <w:szCs w:val="22"/>
          <w:highlight w:val="none"/>
        </w:rPr>
        <w:t>加盖供应商公章）</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6）具有履行合同所必需的设备和专业技术能力的承诺函；</w:t>
      </w:r>
    </w:p>
    <w:p>
      <w:pPr>
        <w:spacing w:line="460" w:lineRule="exact"/>
        <w:ind w:firstLine="440" w:firstLineChars="200"/>
        <w:rPr>
          <w:rFonts w:hint="eastAsia"/>
          <w:color w:val="auto"/>
          <w:sz w:val="22"/>
          <w:szCs w:val="22"/>
          <w:highlight w:val="none"/>
        </w:rPr>
      </w:pPr>
      <w:r>
        <w:rPr>
          <w:rFonts w:hint="eastAsia"/>
          <w:color w:val="auto"/>
          <w:sz w:val="22"/>
          <w:szCs w:val="22"/>
          <w:highlight w:val="none"/>
        </w:rPr>
        <w:t>7）</w:t>
      </w:r>
      <w:r>
        <w:rPr>
          <w:rFonts w:hint="eastAsia"/>
          <w:b/>
          <w:color w:val="auto"/>
          <w:sz w:val="22"/>
          <w:szCs w:val="22"/>
          <w:highlight w:val="none"/>
        </w:rPr>
        <w:t>有依法缴纳税收和社会保障金的良好记录的证明材料：</w:t>
      </w:r>
      <w:r>
        <w:rPr>
          <w:rFonts w:hint="eastAsia"/>
          <w:color w:val="auto"/>
          <w:sz w:val="22"/>
          <w:szCs w:val="22"/>
          <w:highlight w:val="none"/>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8）参加政府采购活动前3年内在经营活动中没有重大违法记录的声明函；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9）单位负责人为同一人或者存在直接控股、管理关系的不同供应商，不得参加同一合同项下的政府采购活动承诺函；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eastAsia="zh-CN"/>
        </w:rPr>
      </w:pPr>
      <w:r>
        <w:rPr>
          <w:rFonts w:hint="eastAsia"/>
          <w:color w:val="auto"/>
          <w:sz w:val="22"/>
          <w:szCs w:val="22"/>
          <w:highlight w:val="none"/>
        </w:rPr>
        <w:t>10）投标供应商没有失信记录承诺函</w:t>
      </w:r>
      <w:r>
        <w:rPr>
          <w:rFonts w:hint="eastAsia"/>
          <w:color w:val="auto"/>
          <w:sz w:val="22"/>
          <w:szCs w:val="22"/>
          <w:highlight w:val="none"/>
          <w:lang w:eastAsia="zh-CN"/>
        </w:rPr>
        <w:t>；</w:t>
      </w:r>
    </w:p>
    <w:p>
      <w:pPr>
        <w:autoSpaceDE w:val="0"/>
        <w:autoSpaceDN w:val="0"/>
        <w:adjustRightInd w:val="0"/>
        <w:snapToGrid w:val="0"/>
        <w:spacing w:line="460" w:lineRule="exact"/>
        <w:ind w:firstLine="440" w:firstLineChars="200"/>
        <w:textAlignment w:val="bottom"/>
        <w:rPr>
          <w:rFonts w:hint="default"/>
          <w:color w:val="auto"/>
          <w:sz w:val="22"/>
          <w:szCs w:val="22"/>
          <w:highlight w:val="none"/>
          <w:lang w:val="en-US" w:eastAsia="zh-CN"/>
        </w:rPr>
      </w:pPr>
      <w:r>
        <w:rPr>
          <w:rFonts w:hint="eastAsia"/>
          <w:color w:val="auto"/>
          <w:sz w:val="22"/>
          <w:szCs w:val="22"/>
          <w:highlight w:val="none"/>
          <w:lang w:val="en-US" w:eastAsia="zh-CN"/>
        </w:rPr>
        <w:t>11）供应商有效的电子与智能化工程专业承包二级及以上资质或建筑机电安装工程专业承包三级及以上资质或机电工程施工总承包三级及以上资质证书。</w:t>
      </w:r>
    </w:p>
    <w:p>
      <w:pPr>
        <w:autoSpaceDE w:val="0"/>
        <w:autoSpaceDN w:val="0"/>
        <w:adjustRightInd w:val="0"/>
        <w:snapToGrid w:val="0"/>
        <w:spacing w:line="46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上述资格条件审查材料3-</w:t>
      </w:r>
      <w:r>
        <w:rPr>
          <w:rFonts w:hint="eastAsia"/>
          <w:b/>
          <w:color w:val="auto"/>
          <w:sz w:val="22"/>
          <w:szCs w:val="22"/>
          <w:highlight w:val="none"/>
          <w:lang w:val="en-US" w:eastAsia="zh-CN"/>
        </w:rPr>
        <w:t>11</w:t>
      </w:r>
      <w:r>
        <w:rPr>
          <w:rFonts w:hint="eastAsia"/>
          <w:b/>
          <w:color w:val="auto"/>
          <w:sz w:val="22"/>
          <w:szCs w:val="22"/>
          <w:highlight w:val="none"/>
        </w:rPr>
        <w:t>项有一项不提供的，视为资格审查不通过。</w:t>
      </w:r>
    </w:p>
    <w:p>
      <w:pPr>
        <w:autoSpaceDE w:val="0"/>
        <w:autoSpaceDN w:val="0"/>
        <w:adjustRightInd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lang w:val="zh-CN"/>
        </w:rPr>
        <w:t>2.2、</w:t>
      </w:r>
      <w:r>
        <w:rPr>
          <w:rFonts w:hint="eastAsia"/>
          <w:b/>
          <w:color w:val="auto"/>
          <w:sz w:val="22"/>
          <w:szCs w:val="22"/>
          <w:highlight w:val="none"/>
          <w:u w:val="single"/>
        </w:rPr>
        <w:t>报价文件</w:t>
      </w:r>
      <w:r>
        <w:rPr>
          <w:rFonts w:hint="eastAsia"/>
          <w:b/>
          <w:color w:val="auto"/>
          <w:sz w:val="22"/>
          <w:szCs w:val="22"/>
          <w:highlight w:val="none"/>
          <w:u w:val="single"/>
          <w:lang w:val="zh-CN"/>
        </w:rPr>
        <w:t>组成</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1）“报价文件”封面</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lang w:val="en-US" w:eastAsia="zh-CN"/>
        </w:rPr>
      </w:pPr>
      <w:r>
        <w:rPr>
          <w:rFonts w:hint="eastAsia"/>
          <w:color w:val="auto"/>
          <w:sz w:val="22"/>
          <w:szCs w:val="22"/>
          <w:highlight w:val="none"/>
          <w:lang w:val="en-US" w:eastAsia="zh-CN"/>
        </w:rPr>
        <w:t>2)</w:t>
      </w:r>
      <w:r>
        <w:rPr>
          <w:rFonts w:hint="eastAsia"/>
          <w:color w:val="auto"/>
          <w:sz w:val="22"/>
          <w:szCs w:val="22"/>
          <w:highlight w:val="none"/>
        </w:rPr>
        <w:t>“报价文件”</w:t>
      </w:r>
      <w:r>
        <w:rPr>
          <w:rFonts w:hint="eastAsia"/>
          <w:color w:val="auto"/>
          <w:sz w:val="22"/>
          <w:szCs w:val="22"/>
          <w:highlight w:val="none"/>
          <w:lang w:val="en-US" w:eastAsia="zh-CN"/>
        </w:rPr>
        <w:t>目录</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eastAsia="zh-CN"/>
        </w:rPr>
      </w:pPr>
      <w:r>
        <w:rPr>
          <w:rFonts w:hint="eastAsia"/>
          <w:color w:val="auto"/>
          <w:sz w:val="22"/>
          <w:szCs w:val="22"/>
          <w:highlight w:val="none"/>
          <w:lang w:val="en-US" w:eastAsia="zh-CN"/>
        </w:rPr>
        <w:t>3</w:t>
      </w:r>
      <w:r>
        <w:rPr>
          <w:rFonts w:hint="eastAsia"/>
          <w:color w:val="auto"/>
          <w:sz w:val="22"/>
          <w:szCs w:val="22"/>
          <w:highlight w:val="none"/>
        </w:rPr>
        <w:t>）</w:t>
      </w:r>
      <w:r>
        <w:rPr>
          <w:rFonts w:hint="eastAsia"/>
          <w:color w:val="auto"/>
          <w:sz w:val="22"/>
          <w:szCs w:val="22"/>
          <w:highlight w:val="none"/>
          <w:lang w:eastAsia="zh-CN"/>
        </w:rPr>
        <w:t>报价一览表</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eastAsia="zh-CN"/>
        </w:rPr>
      </w:pPr>
      <w:r>
        <w:rPr>
          <w:rFonts w:hint="eastAsia" w:eastAsia="宋体"/>
          <w:color w:val="auto"/>
          <w:sz w:val="22"/>
          <w:szCs w:val="22"/>
          <w:highlight w:val="none"/>
          <w:lang w:val="en-US" w:eastAsia="zh-CN"/>
        </w:rPr>
        <w:t>4）</w:t>
      </w:r>
      <w:r>
        <w:rPr>
          <w:rFonts w:hint="eastAsia" w:eastAsia="宋体"/>
          <w:color w:val="auto"/>
          <w:sz w:val="22"/>
          <w:szCs w:val="22"/>
          <w:highlight w:val="none"/>
          <w:lang w:eastAsia="zh-CN"/>
        </w:rPr>
        <w:t>投标分项报价表</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val="en-US" w:eastAsia="zh-CN"/>
        </w:rPr>
      </w:pPr>
      <w:r>
        <w:rPr>
          <w:rFonts w:hint="eastAsia" w:eastAsia="宋体"/>
          <w:color w:val="auto"/>
          <w:sz w:val="22"/>
          <w:szCs w:val="22"/>
          <w:highlight w:val="none"/>
          <w:lang w:val="en-US" w:eastAsia="zh-CN"/>
        </w:rPr>
        <w:t>5）</w:t>
      </w:r>
      <w:r>
        <w:rPr>
          <w:rFonts w:hint="eastAsia" w:eastAsia="宋体"/>
          <w:color w:val="auto"/>
          <w:sz w:val="22"/>
          <w:szCs w:val="22"/>
          <w:highlight w:val="none"/>
          <w:lang w:eastAsia="zh-CN"/>
        </w:rPr>
        <w:t>设备零件、易损件、备品备件报价表</w:t>
      </w:r>
    </w:p>
    <w:p>
      <w:pPr>
        <w:autoSpaceDE w:val="0"/>
        <w:autoSpaceDN w:val="0"/>
        <w:adjustRightInd w:val="0"/>
        <w:snapToGrid w:val="0"/>
        <w:spacing w:line="460" w:lineRule="exact"/>
        <w:ind w:firstLine="440" w:firstLineChars="200"/>
        <w:textAlignment w:val="bottom"/>
        <w:rPr>
          <w:rFonts w:hint="eastAsia"/>
          <w:color w:val="auto"/>
          <w:sz w:val="22"/>
          <w:highlight w:val="none"/>
        </w:rPr>
      </w:pPr>
      <w:r>
        <w:rPr>
          <w:rFonts w:hint="eastAsia" w:eastAsia="宋体"/>
          <w:color w:val="auto"/>
          <w:sz w:val="22"/>
          <w:szCs w:val="22"/>
          <w:highlight w:val="none"/>
          <w:lang w:val="en-US" w:eastAsia="zh-CN"/>
        </w:rPr>
        <w:t>6</w:t>
      </w:r>
      <w:r>
        <w:rPr>
          <w:rFonts w:hint="eastAsia" w:eastAsia="宋体"/>
          <w:color w:val="auto"/>
          <w:sz w:val="22"/>
          <w:szCs w:val="22"/>
          <w:highlight w:val="none"/>
          <w:lang w:eastAsia="zh-CN"/>
        </w:rPr>
        <w:t>）中小企业声明函、监狱企业、残疾人福利性单位</w:t>
      </w:r>
      <w:r>
        <w:rPr>
          <w:rFonts w:hint="eastAsia"/>
          <w:color w:val="auto"/>
          <w:sz w:val="22"/>
          <w:highlight w:val="none"/>
        </w:rPr>
        <w:t>及其他相关的充分的证明材料</w:t>
      </w:r>
    </w:p>
    <w:p>
      <w:pPr>
        <w:autoSpaceDE w:val="0"/>
        <w:autoSpaceDN w:val="0"/>
        <w:adjustRightInd w:val="0"/>
        <w:snapToGrid w:val="0"/>
        <w:spacing w:line="460" w:lineRule="exact"/>
        <w:ind w:firstLine="440" w:firstLineChars="200"/>
        <w:textAlignment w:val="bottom"/>
        <w:rPr>
          <w:rFonts w:hint="eastAsia"/>
          <w:bCs/>
          <w:color w:val="auto"/>
          <w:sz w:val="22"/>
          <w:szCs w:val="22"/>
          <w:highlight w:val="none"/>
          <w:u w:val="single"/>
        </w:rPr>
      </w:pPr>
      <w:r>
        <w:rPr>
          <w:rFonts w:hint="eastAsia"/>
          <w:color w:val="auto"/>
          <w:sz w:val="22"/>
          <w:szCs w:val="22"/>
          <w:highlight w:val="none"/>
        </w:rPr>
        <w:t>2.3、</w:t>
      </w:r>
      <w:r>
        <w:rPr>
          <w:rFonts w:hint="eastAsia" w:cs="Arial"/>
          <w:bCs/>
          <w:color w:val="auto"/>
          <w:sz w:val="22"/>
          <w:szCs w:val="22"/>
          <w:highlight w:val="none"/>
          <w:u w:val="single"/>
        </w:rPr>
        <w:t>商务技术文件</w:t>
      </w:r>
      <w:r>
        <w:rPr>
          <w:rFonts w:hint="eastAsia"/>
          <w:bCs/>
          <w:color w:val="auto"/>
          <w:sz w:val="22"/>
          <w:szCs w:val="22"/>
          <w:highlight w:val="none"/>
          <w:u w:val="single"/>
        </w:rPr>
        <w:t>组成</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1）商务技术文件封面</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2）供应商自评分指引表</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w:t>
      </w:r>
      <w:r>
        <w:rPr>
          <w:color w:val="auto"/>
          <w:sz w:val="22"/>
          <w:szCs w:val="22"/>
          <w:highlight w:val="none"/>
        </w:rPr>
        <w:t>供应商参与政府采购活动投标资格声明函</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4) 投标函；</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5）法定代表人授权书；</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6）投标供应商情况声明</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7）针对本项目人员配置情况；</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8）投标产品的主要技术参数表</w:t>
      </w:r>
      <w:r>
        <w:rPr>
          <w:rFonts w:hint="eastAsia"/>
          <w:color w:val="auto"/>
          <w:sz w:val="22"/>
          <w:szCs w:val="22"/>
          <w:highlight w:val="none"/>
          <w:lang w:eastAsia="zh-CN"/>
        </w:rPr>
        <w:t>（</w:t>
      </w:r>
      <w:r>
        <w:rPr>
          <w:rFonts w:hint="eastAsia"/>
          <w:color w:val="auto"/>
          <w:sz w:val="22"/>
          <w:szCs w:val="22"/>
          <w:highlight w:val="none"/>
          <w:lang w:val="en-US" w:eastAsia="zh-CN"/>
        </w:rPr>
        <w:t>不带价格放技术资信标中</w:t>
      </w:r>
      <w:r>
        <w:rPr>
          <w:rFonts w:hint="eastAsia"/>
          <w:color w:val="auto"/>
          <w:sz w:val="22"/>
          <w:szCs w:val="22"/>
          <w:highlight w:val="none"/>
          <w:lang w:eastAsia="zh-CN"/>
        </w:rPr>
        <w:t>）</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eastAsia="zh-CN"/>
        </w:rPr>
      </w:pPr>
      <w:r>
        <w:rPr>
          <w:rFonts w:hint="eastAsia"/>
          <w:color w:val="auto"/>
          <w:sz w:val="22"/>
          <w:szCs w:val="22"/>
          <w:highlight w:val="none"/>
        </w:rPr>
        <w:t>9）针对本项目的方案（包括但不限于下列内容：针对本项目的技术思路、工作部署及具体工作安排的合理性、可操作性，工作方法手段的选择、工作量安排及组织保障措施，实施进度计划，服务方案的可行性、完整性、及时性以及服务承诺落实保障措施的可实现程度；应急处理措施；具体实施方法）</w:t>
      </w:r>
      <w:r>
        <w:rPr>
          <w:rFonts w:hint="eastAsia"/>
          <w:color w:val="auto"/>
          <w:sz w:val="22"/>
          <w:szCs w:val="22"/>
          <w:highlight w:val="none"/>
          <w:lang w:eastAsia="zh-CN"/>
        </w:rPr>
        <w:t>；</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0</w:t>
      </w:r>
      <w:r>
        <w:rPr>
          <w:rFonts w:hint="eastAsia"/>
          <w:color w:val="auto"/>
          <w:sz w:val="22"/>
          <w:szCs w:val="22"/>
          <w:highlight w:val="none"/>
        </w:rPr>
        <w:t>）商务响应表、技术响应表（</w:t>
      </w:r>
      <w:r>
        <w:rPr>
          <w:rFonts w:hint="eastAsia"/>
          <w:color w:val="auto"/>
          <w:sz w:val="22"/>
          <w:szCs w:val="22"/>
          <w:highlight w:val="none"/>
          <w:u w:val="single"/>
        </w:rPr>
        <w:t>如有偏离须明确列出</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1</w:t>
      </w:r>
      <w:r>
        <w:rPr>
          <w:rFonts w:hint="eastAsia"/>
          <w:color w:val="auto"/>
          <w:sz w:val="22"/>
          <w:szCs w:val="22"/>
          <w:highlight w:val="none"/>
        </w:rPr>
        <w:t>） 供应商（制造商）质量体系认证证书、供应商相关资质、资信或信用证书（如有则提供，复印件加盖有效公章）；</w:t>
      </w:r>
    </w:p>
    <w:p>
      <w:pPr>
        <w:autoSpaceDE w:val="0"/>
        <w:autoSpaceDN w:val="0"/>
        <w:adjustRightInd w:val="0"/>
        <w:snapToGrid w:val="0"/>
        <w:spacing w:line="460" w:lineRule="exact"/>
        <w:ind w:firstLine="442" w:firstLineChars="200"/>
        <w:textAlignment w:val="bottom"/>
        <w:rPr>
          <w:rFonts w:hint="eastAsia"/>
          <w:color w:val="auto"/>
          <w:sz w:val="22"/>
          <w:szCs w:val="22"/>
          <w:highlight w:val="none"/>
        </w:rPr>
      </w:pPr>
      <w:r>
        <w:rPr>
          <w:rFonts w:hint="eastAsia"/>
          <w:b/>
          <w:color w:val="auto"/>
          <w:sz w:val="22"/>
          <w:szCs w:val="22"/>
          <w:highlight w:val="none"/>
        </w:rPr>
        <w:t>1</w:t>
      </w:r>
      <w:r>
        <w:rPr>
          <w:rFonts w:hint="eastAsia"/>
          <w:b/>
          <w:color w:val="auto"/>
          <w:sz w:val="22"/>
          <w:szCs w:val="22"/>
          <w:highlight w:val="none"/>
          <w:lang w:val="en-US" w:eastAsia="zh-CN"/>
        </w:rPr>
        <w:t>2</w:t>
      </w:r>
      <w:r>
        <w:rPr>
          <w:rFonts w:hint="eastAsia"/>
          <w:b/>
          <w:color w:val="auto"/>
          <w:sz w:val="22"/>
          <w:szCs w:val="22"/>
          <w:highlight w:val="none"/>
        </w:rPr>
        <w:t>）2017年1月1日以来的类似项目业绩证明（按评标细则要求提供）；</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3</w:t>
      </w:r>
      <w:r>
        <w:rPr>
          <w:rFonts w:hint="eastAsia"/>
          <w:color w:val="auto"/>
          <w:sz w:val="22"/>
          <w:szCs w:val="22"/>
          <w:highlight w:val="none"/>
        </w:rPr>
        <w:t>）节能（环保）产品清单（如有）；</w:t>
      </w:r>
    </w:p>
    <w:p>
      <w:pPr>
        <w:autoSpaceDE w:val="0"/>
        <w:autoSpaceDN w:val="0"/>
        <w:adjustRightInd w:val="0"/>
        <w:snapToGrid w:val="0"/>
        <w:spacing w:line="460" w:lineRule="exact"/>
        <w:ind w:firstLine="442" w:firstLineChars="200"/>
        <w:textAlignment w:val="bottom"/>
        <w:rPr>
          <w:rFonts w:hint="eastAsia"/>
          <w:color w:val="auto"/>
          <w:sz w:val="22"/>
          <w:szCs w:val="22"/>
          <w:highlight w:val="none"/>
        </w:rPr>
      </w:pPr>
      <w:r>
        <w:rPr>
          <w:rFonts w:hint="eastAsia"/>
          <w:b/>
          <w:color w:val="auto"/>
          <w:sz w:val="22"/>
          <w:szCs w:val="22"/>
          <w:highlight w:val="none"/>
        </w:rPr>
        <w:t>1</w:t>
      </w:r>
      <w:r>
        <w:rPr>
          <w:rFonts w:hint="eastAsia"/>
          <w:b/>
          <w:color w:val="auto"/>
          <w:sz w:val="22"/>
          <w:szCs w:val="22"/>
          <w:highlight w:val="none"/>
          <w:lang w:val="en-US" w:eastAsia="zh-CN"/>
        </w:rPr>
        <w:t>4</w:t>
      </w:r>
      <w:r>
        <w:rPr>
          <w:rFonts w:hint="eastAsia"/>
          <w:b/>
          <w:color w:val="auto"/>
          <w:sz w:val="22"/>
          <w:szCs w:val="22"/>
          <w:highlight w:val="none"/>
        </w:rPr>
        <w:t>）质量服务承诺书、诚信投标承诺书；</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5</w:t>
      </w:r>
      <w:r>
        <w:rPr>
          <w:rFonts w:hint="eastAsia"/>
          <w:color w:val="auto"/>
          <w:sz w:val="22"/>
          <w:szCs w:val="22"/>
          <w:highlight w:val="none"/>
        </w:rPr>
        <w:t>）供应商认为有必要提供的其他材料或说明（如有）</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 投标文件编制</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3.1本项目通过“政府采购云平台（</w:t>
      </w:r>
      <w:r>
        <w:rPr>
          <w:color w:val="auto"/>
          <w:sz w:val="22"/>
          <w:szCs w:val="22"/>
          <w:highlight w:val="none"/>
        </w:rPr>
        <w:t>www.</w:t>
      </w:r>
      <w:r>
        <w:rPr>
          <w:rFonts w:hint="eastAsia"/>
          <w:color w:val="auto"/>
          <w:sz w:val="22"/>
          <w:szCs w:val="22"/>
          <w:highlight w:val="none"/>
        </w:rPr>
        <w:t>zcy</w:t>
      </w:r>
      <w:r>
        <w:rPr>
          <w:color w:val="auto"/>
          <w:sz w:val="22"/>
          <w:szCs w:val="22"/>
          <w:highlight w:val="none"/>
        </w:rPr>
        <w:t>gov.cn</w:t>
      </w:r>
      <w:r>
        <w:rPr>
          <w:rFonts w:hint="eastAsia"/>
          <w:color w:val="auto"/>
          <w:sz w:val="22"/>
          <w:szCs w:val="22"/>
          <w:highlight w:val="none"/>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3.2投标供应商应当按照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3.3</w:t>
      </w:r>
      <w:r>
        <w:rPr>
          <w:color w:val="auto"/>
          <w:sz w:val="22"/>
          <w:szCs w:val="22"/>
          <w:highlight w:val="none"/>
        </w:rPr>
        <w:t>《投标文件》内容不完整、编排混乱导致《投标文件》被误读、漏读或者查找不到相关内容的，是投标供应商的责任。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3.4《</w:t>
      </w:r>
      <w:r>
        <w:rPr>
          <w:color w:val="auto"/>
          <w:sz w:val="22"/>
          <w:szCs w:val="22"/>
          <w:highlight w:val="none"/>
        </w:rPr>
        <w:t>投标文件</w:t>
      </w:r>
      <w:r>
        <w:rPr>
          <w:rFonts w:hint="eastAsia"/>
          <w:color w:val="auto"/>
          <w:sz w:val="22"/>
          <w:szCs w:val="22"/>
          <w:highlight w:val="none"/>
        </w:rPr>
        <w:t>》</w:t>
      </w:r>
      <w:r>
        <w:rPr>
          <w:color w:val="auto"/>
          <w:sz w:val="22"/>
          <w:szCs w:val="22"/>
          <w:highlight w:val="none"/>
        </w:rPr>
        <w:t>因字迹潦草或表达不清所引起的后果由投标供应商负责。</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3.5</w:t>
      </w:r>
      <w:r>
        <w:rPr>
          <w:color w:val="auto"/>
          <w:sz w:val="22"/>
          <w:szCs w:val="22"/>
          <w:highlight w:val="none"/>
        </w:rPr>
        <w:t>投标供应商没有按照本</w:t>
      </w:r>
      <w:r>
        <w:rPr>
          <w:rFonts w:hint="eastAsia"/>
          <w:color w:val="auto"/>
          <w:sz w:val="22"/>
          <w:szCs w:val="22"/>
          <w:highlight w:val="none"/>
        </w:rPr>
        <w:t>章节 “投标文件组成”</w:t>
      </w:r>
      <w:r>
        <w:rPr>
          <w:color w:val="auto"/>
          <w:sz w:val="22"/>
          <w:szCs w:val="22"/>
          <w:highlight w:val="none"/>
        </w:rPr>
        <w:t>要求提供全部资料，</w:t>
      </w:r>
      <w:r>
        <w:rPr>
          <w:rFonts w:hint="eastAsia"/>
          <w:color w:val="auto"/>
          <w:sz w:val="22"/>
          <w:szCs w:val="22"/>
          <w:highlight w:val="none"/>
        </w:rPr>
        <w:t>或者没有仔细阅读招标文件，</w:t>
      </w:r>
      <w:r>
        <w:rPr>
          <w:color w:val="auto"/>
          <w:sz w:val="22"/>
          <w:szCs w:val="22"/>
          <w:highlight w:val="none"/>
        </w:rPr>
        <w:t>或者没有对招标文件在各方面的要求作出实质性响应是投标供应商的风险</w:t>
      </w:r>
      <w:r>
        <w:rPr>
          <w:rFonts w:hint="eastAsia"/>
          <w:color w:val="auto"/>
          <w:sz w:val="22"/>
          <w:szCs w:val="22"/>
          <w:highlight w:val="none"/>
        </w:rPr>
        <w:t>，由此造成的一切后果由投标供应商自行承担。</w:t>
      </w:r>
    </w:p>
    <w:p>
      <w:pPr>
        <w:autoSpaceDE w:val="0"/>
        <w:autoSpaceDN w:val="0"/>
        <w:adjustRightInd w:val="0"/>
        <w:snapToGrid w:val="0"/>
        <w:spacing w:line="420" w:lineRule="exact"/>
        <w:textAlignment w:val="bottom"/>
        <w:rPr>
          <w:rFonts w:hint="eastAsia" w:cs="Arial"/>
          <w:color w:val="auto"/>
          <w:sz w:val="22"/>
          <w:szCs w:val="22"/>
          <w:highlight w:val="none"/>
        </w:rPr>
      </w:pPr>
      <w:r>
        <w:rPr>
          <w:rFonts w:hint="eastAsia" w:cs="Arial"/>
          <w:color w:val="auto"/>
          <w:sz w:val="22"/>
          <w:szCs w:val="22"/>
          <w:highlight w:val="none"/>
        </w:rPr>
        <w:t xml:space="preserve">    </w:t>
      </w:r>
      <w:bookmarkStart w:id="6" w:name="_Toc132122115"/>
      <w:bookmarkStart w:id="7" w:name="_Toc132122412"/>
      <w:r>
        <w:rPr>
          <w:rFonts w:hint="eastAsia" w:cs="Arial"/>
          <w:color w:val="auto"/>
          <w:sz w:val="22"/>
          <w:szCs w:val="22"/>
          <w:highlight w:val="none"/>
        </w:rPr>
        <w:t>4.投标报价</w:t>
      </w:r>
      <w:bookmarkEnd w:id="6"/>
      <w:bookmarkEnd w:id="7"/>
    </w:p>
    <w:p>
      <w:pPr>
        <w:autoSpaceDE w:val="0"/>
        <w:autoSpaceDN w:val="0"/>
        <w:adjustRightInd w:val="0"/>
        <w:snapToGrid w:val="0"/>
        <w:spacing w:line="420" w:lineRule="exact"/>
        <w:ind w:firstLine="435" w:firstLineChars="198"/>
        <w:textAlignment w:val="bottom"/>
        <w:rPr>
          <w:rFonts w:hint="eastAsia" w:cs="Arial"/>
          <w:color w:val="auto"/>
          <w:sz w:val="22"/>
          <w:szCs w:val="22"/>
          <w:highlight w:val="none"/>
        </w:rPr>
      </w:pPr>
      <w:r>
        <w:rPr>
          <w:rFonts w:hint="eastAsia" w:cs="Arial"/>
          <w:color w:val="auto"/>
          <w:sz w:val="22"/>
          <w:szCs w:val="22"/>
          <w:highlight w:val="none"/>
        </w:rPr>
        <w:t>4.1、供应商应按招标文件中《</w:t>
      </w:r>
      <w:r>
        <w:rPr>
          <w:rFonts w:hint="eastAsia" w:cs="Arial"/>
          <w:color w:val="auto"/>
          <w:sz w:val="22"/>
          <w:szCs w:val="22"/>
          <w:highlight w:val="none"/>
          <w:lang w:eastAsia="zh-CN"/>
        </w:rPr>
        <w:t>报价一览表</w:t>
      </w:r>
      <w:r>
        <w:rPr>
          <w:rFonts w:hint="eastAsia" w:cs="Arial"/>
          <w:color w:val="auto"/>
          <w:sz w:val="22"/>
          <w:szCs w:val="22"/>
          <w:highlight w:val="none"/>
        </w:rPr>
        <w:t>》填写报价。</w:t>
      </w:r>
      <w:r>
        <w:rPr>
          <w:b/>
          <w:color w:val="auto"/>
          <w:sz w:val="22"/>
          <w:szCs w:val="22"/>
          <w:highlight w:val="none"/>
        </w:rPr>
        <w:t>投标供应商在线制作投标文件时《</w:t>
      </w:r>
      <w:r>
        <w:rPr>
          <w:rFonts w:hint="eastAsia"/>
          <w:b/>
          <w:color w:val="auto"/>
          <w:sz w:val="22"/>
          <w:szCs w:val="22"/>
          <w:highlight w:val="none"/>
          <w:lang w:eastAsia="zh-CN"/>
        </w:rPr>
        <w:t>报价一览表</w:t>
      </w:r>
      <w:r>
        <w:rPr>
          <w:b/>
          <w:color w:val="auto"/>
          <w:sz w:val="22"/>
          <w:szCs w:val="22"/>
          <w:highlight w:val="none"/>
        </w:rPr>
        <w:t>》中填写的金额与解密后“电子加密投标文件”中《</w:t>
      </w:r>
      <w:r>
        <w:rPr>
          <w:rFonts w:hint="eastAsia"/>
          <w:b/>
          <w:color w:val="auto"/>
          <w:sz w:val="22"/>
          <w:szCs w:val="22"/>
          <w:highlight w:val="none"/>
          <w:lang w:eastAsia="zh-CN"/>
        </w:rPr>
        <w:t>报价一览表</w:t>
      </w:r>
      <w:r>
        <w:rPr>
          <w:b/>
          <w:color w:val="auto"/>
          <w:sz w:val="22"/>
          <w:szCs w:val="22"/>
          <w:highlight w:val="none"/>
        </w:rPr>
        <w:t>》填写的金额不一致的，以解密后“电子加密投标文件”中《</w:t>
      </w:r>
      <w:r>
        <w:rPr>
          <w:rFonts w:hint="eastAsia"/>
          <w:b/>
          <w:color w:val="auto"/>
          <w:sz w:val="22"/>
          <w:szCs w:val="22"/>
          <w:highlight w:val="none"/>
          <w:lang w:eastAsia="zh-CN"/>
        </w:rPr>
        <w:t>报价一览表</w:t>
      </w:r>
      <w:r>
        <w:rPr>
          <w:b/>
          <w:color w:val="auto"/>
          <w:sz w:val="22"/>
          <w:szCs w:val="22"/>
          <w:highlight w:val="none"/>
        </w:rPr>
        <w:t>》填写的金额为准，投标供应商拒绝接受此调整的，按无效投标处理。</w:t>
      </w:r>
    </w:p>
    <w:p>
      <w:pPr>
        <w:autoSpaceDE w:val="0"/>
        <w:autoSpaceDN w:val="0"/>
        <w:adjustRightInd w:val="0"/>
        <w:snapToGrid w:val="0"/>
        <w:spacing w:line="420" w:lineRule="exact"/>
        <w:ind w:firstLine="440" w:firstLineChars="200"/>
        <w:textAlignment w:val="bottom"/>
        <w:rPr>
          <w:rFonts w:hint="eastAsia" w:cs="Arial"/>
          <w:bCs/>
          <w:color w:val="auto"/>
          <w:sz w:val="22"/>
          <w:szCs w:val="22"/>
          <w:highlight w:val="none"/>
        </w:rPr>
      </w:pPr>
      <w:r>
        <w:rPr>
          <w:rFonts w:hint="eastAsia" w:cs="Arial"/>
          <w:bCs/>
          <w:color w:val="auto"/>
          <w:sz w:val="22"/>
          <w:szCs w:val="22"/>
          <w:highlight w:val="none"/>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hint="eastAsia" w:cs="Arial"/>
          <w:color w:val="auto"/>
          <w:sz w:val="22"/>
          <w:szCs w:val="22"/>
          <w:highlight w:val="none"/>
          <w:u w:val="single"/>
        </w:rPr>
      </w:pPr>
      <w:r>
        <w:rPr>
          <w:rFonts w:hint="eastAsia" w:cs="Arial"/>
          <w:color w:val="auto"/>
          <w:sz w:val="22"/>
          <w:szCs w:val="22"/>
          <w:highlight w:val="none"/>
        </w:rPr>
        <w:t>4.3、</w:t>
      </w:r>
      <w:r>
        <w:rPr>
          <w:rFonts w:hint="eastAsia" w:cs="Arial"/>
          <w:color w:val="auto"/>
          <w:sz w:val="22"/>
          <w:szCs w:val="22"/>
          <w:highlight w:val="none"/>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60" w:lineRule="exact"/>
        <w:ind w:firstLine="431" w:firstLineChars="196"/>
        <w:rPr>
          <w:rFonts w:hint="eastAsia" w:cs="Arial"/>
          <w:color w:val="auto"/>
          <w:sz w:val="22"/>
          <w:szCs w:val="22"/>
          <w:highlight w:val="none"/>
        </w:rPr>
      </w:pPr>
      <w:bookmarkStart w:id="8" w:name="_Toc132122117"/>
      <w:bookmarkStart w:id="9" w:name="_Toc132122414"/>
      <w:bookmarkStart w:id="10" w:name="_Toc132122415"/>
      <w:bookmarkStart w:id="11" w:name="_Toc132122118"/>
      <w:r>
        <w:rPr>
          <w:rFonts w:hint="eastAsia" w:cs="Arial"/>
          <w:color w:val="auto"/>
          <w:sz w:val="22"/>
          <w:szCs w:val="22"/>
          <w:highlight w:val="none"/>
        </w:rPr>
        <w:t>5、投标文件的有效期</w:t>
      </w:r>
      <w:bookmarkEnd w:id="8"/>
      <w:bookmarkEnd w:id="9"/>
    </w:p>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5.1自开标日起90天内，投标文件应保持有效。有效期短于这个规定期限的投标将被拒绝。</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5.2在特殊情况下，采购人可与供应商协商延长投标文件的有效期，这种要求和答复均应以书面形式进行。</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5.3供应商可拒绝接受延期要求而不会导致处罚。同意延长有效期的供应商不能修改投标文件。</w:t>
      </w:r>
    </w:p>
    <w:bookmarkEnd w:id="10"/>
    <w:bookmarkEnd w:id="11"/>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6、投标文件的签章</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.1《</w:t>
      </w:r>
      <w:r>
        <w:rPr>
          <w:rFonts w:hAnsi="宋体" w:cs="Arial"/>
          <w:color w:val="auto"/>
          <w:sz w:val="22"/>
          <w:szCs w:val="22"/>
          <w:highlight w:val="none"/>
        </w:rPr>
        <w:t>投标文件</w:t>
      </w:r>
      <w:r>
        <w:rPr>
          <w:rFonts w:hint="eastAsia" w:hAnsi="宋体" w:cs="Arial"/>
          <w:color w:val="auto"/>
          <w:sz w:val="22"/>
          <w:szCs w:val="22"/>
          <w:highlight w:val="none"/>
        </w:rPr>
        <w:t>》的签章：</w:t>
      </w:r>
      <w:r>
        <w:rPr>
          <w:rFonts w:hint="eastAsia" w:hAnsi="宋体" w:cs="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.2《</w:t>
      </w:r>
      <w:r>
        <w:rPr>
          <w:rFonts w:hAnsi="宋体" w:cs="Arial"/>
          <w:color w:val="auto"/>
          <w:sz w:val="22"/>
          <w:szCs w:val="22"/>
          <w:highlight w:val="none"/>
        </w:rPr>
        <w:t>投标文件</w:t>
      </w:r>
      <w:r>
        <w:rPr>
          <w:rFonts w:hint="eastAsia" w:hAnsi="宋体" w:cs="Arial"/>
          <w:color w:val="auto"/>
          <w:sz w:val="22"/>
          <w:szCs w:val="22"/>
          <w:highlight w:val="none"/>
        </w:rPr>
        <w:t>》应由投标供应商法定代表人或其授权代表签字（或盖章），并时加盖投标供应商公章。</w:t>
      </w:r>
    </w:p>
    <w:p>
      <w:pPr>
        <w:pStyle w:val="10"/>
        <w:adjustRightInd w:val="0"/>
        <w:snapToGrid w:val="0"/>
        <w:spacing w:line="46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w:t>
      </w:r>
      <w:r>
        <w:rPr>
          <w:rFonts w:hAnsi="宋体" w:cs="Arial"/>
          <w:color w:val="auto"/>
          <w:sz w:val="22"/>
          <w:szCs w:val="22"/>
          <w:highlight w:val="none"/>
        </w:rPr>
        <w:t>3</w:t>
      </w:r>
      <w:r>
        <w:rPr>
          <w:rFonts w:hint="eastAsia" w:hAnsi="宋体" w:cs="Arial"/>
          <w:color w:val="auto"/>
          <w:sz w:val="22"/>
          <w:szCs w:val="22"/>
          <w:highlight w:val="none"/>
        </w:rPr>
        <w:t>电子签章操作指南详见采购公告附件《供应商项目采购-电子招投标操作指南》。</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7、投标文件的形式</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.1投标文件的形式：见投标通知(邀 请)书；</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.2“电子加密投标文件”：“电子加密投标文件”是指通过“政采云电子交易客户端”完成投标文件编制后生成并加密的数据电文形式的投标文件。</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8、投标文件的份数</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8</w:t>
      </w:r>
      <w:r>
        <w:rPr>
          <w:rFonts w:hint="eastAsia" w:hAnsi="宋体" w:cs="Arial"/>
          <w:color w:val="auto"/>
          <w:sz w:val="22"/>
          <w:szCs w:val="22"/>
          <w:highlight w:val="none"/>
        </w:rPr>
        <w:t>.1投标文件的份数：见投标通知(邀请)书。</w:t>
      </w:r>
    </w:p>
    <w:p>
      <w:pPr>
        <w:snapToGrid w:val="0"/>
        <w:spacing w:line="420" w:lineRule="exact"/>
        <w:ind w:firstLine="527"/>
        <w:outlineLvl w:val="0"/>
        <w:rPr>
          <w:rFonts w:hint="eastAsia" w:cs="Arial"/>
          <w:b/>
          <w:color w:val="auto"/>
          <w:sz w:val="22"/>
          <w:szCs w:val="22"/>
          <w:highlight w:val="none"/>
        </w:rPr>
      </w:pPr>
      <w:r>
        <w:rPr>
          <w:rFonts w:hint="eastAsia" w:cs="Arial"/>
          <w:b/>
          <w:color w:val="auto"/>
          <w:sz w:val="22"/>
          <w:szCs w:val="22"/>
          <w:highlight w:val="none"/>
        </w:rPr>
        <w:t>五、投标</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1、投标文件的上传和递交</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1</w:t>
      </w:r>
      <w:r>
        <w:rPr>
          <w:rFonts w:hint="eastAsia" w:hAnsi="宋体" w:cs="Arial"/>
          <w:color w:val="auto"/>
          <w:sz w:val="22"/>
          <w:szCs w:val="22"/>
          <w:highlight w:val="none"/>
        </w:rPr>
        <w:t>.1“投标文件”的上传、递交：见投标通知(邀 请)书。</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2、“电子加密投标文件”解密和异常情况处理</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2</w:t>
      </w:r>
      <w:r>
        <w:rPr>
          <w:rFonts w:hint="eastAsia" w:hAnsi="宋体" w:cs="Arial"/>
          <w:color w:val="auto"/>
          <w:sz w:val="22"/>
          <w:szCs w:val="22"/>
          <w:highlight w:val="none"/>
        </w:rPr>
        <w:t>.1“电子加密投标文件”解密：见投标通知(邀 请)书。</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3、投标文件的补充、修改或撤回</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3</w:t>
      </w:r>
      <w:r>
        <w:rPr>
          <w:rFonts w:hint="eastAsia" w:hAnsi="宋体" w:cs="Arial"/>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0"/>
        <w:adjustRightInd w:val="0"/>
        <w:snapToGrid w:val="0"/>
        <w:spacing w:line="460" w:lineRule="exact"/>
        <w:ind w:firstLine="442" w:firstLineChars="200"/>
        <w:rPr>
          <w:rFonts w:hint="eastAsia" w:hAnsi="宋体" w:cs="Arial"/>
          <w:b/>
          <w:color w:val="auto"/>
          <w:sz w:val="22"/>
          <w:szCs w:val="22"/>
          <w:highlight w:val="none"/>
        </w:rPr>
      </w:pPr>
      <w:r>
        <w:rPr>
          <w:rFonts w:hAnsi="宋体" w:cs="Arial"/>
          <w:b/>
          <w:color w:val="auto"/>
          <w:sz w:val="22"/>
          <w:szCs w:val="22"/>
          <w:highlight w:val="none"/>
        </w:rPr>
        <w:t>3</w:t>
      </w:r>
      <w:r>
        <w:rPr>
          <w:rFonts w:hint="eastAsia" w:hAnsi="宋体" w:cs="Arial"/>
          <w:b/>
          <w:color w:val="auto"/>
          <w:sz w:val="22"/>
          <w:szCs w:val="22"/>
          <w:highlight w:val="none"/>
        </w:rPr>
        <w:t>.2</w:t>
      </w:r>
      <w:r>
        <w:rPr>
          <w:rFonts w:hAnsi="宋体" w:cs="Arial"/>
          <w:b/>
          <w:color w:val="auto"/>
          <w:sz w:val="22"/>
          <w:szCs w:val="22"/>
          <w:highlight w:val="none"/>
        </w:rPr>
        <w:t>投标截止时间后，投标供应商不得撤回、修改《投标文件》</w:t>
      </w:r>
      <w:r>
        <w:rPr>
          <w:rFonts w:hint="eastAsia" w:hAnsi="宋体" w:cs="Arial"/>
          <w:b/>
          <w:color w:val="auto"/>
          <w:sz w:val="22"/>
          <w:szCs w:val="22"/>
          <w:highlight w:val="none"/>
        </w:rPr>
        <w:t>。</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4、投标文件的备选方案</w:t>
      </w:r>
    </w:p>
    <w:p>
      <w:pPr>
        <w:pStyle w:val="10"/>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4.1</w:t>
      </w:r>
      <w:r>
        <w:rPr>
          <w:rFonts w:hint="eastAsia" w:hAnsi="宋体" w:cs="Arial"/>
          <w:color w:val="auto"/>
          <w:sz w:val="22"/>
          <w:szCs w:val="22"/>
          <w:highlight w:val="none"/>
        </w:rPr>
        <w:t>投标供应商不得递交任何的</w:t>
      </w:r>
      <w:r>
        <w:rPr>
          <w:rFonts w:hAnsi="宋体" w:cs="Arial"/>
          <w:color w:val="auto"/>
          <w:sz w:val="22"/>
          <w:szCs w:val="22"/>
          <w:highlight w:val="none"/>
        </w:rPr>
        <w:t>投标备选（替代）方案</w:t>
      </w:r>
      <w:r>
        <w:rPr>
          <w:rFonts w:hint="eastAsia" w:hAnsi="宋体" w:cs="Arial"/>
          <w:color w:val="auto"/>
          <w:sz w:val="22"/>
          <w:szCs w:val="22"/>
          <w:highlight w:val="none"/>
        </w:rPr>
        <w:t>，否则其投标文件将作无效标处理。与“电子加密投标文件”同时生成的“备份投标文件”不是投标备选（替代）方案。</w:t>
      </w:r>
    </w:p>
    <w:p>
      <w:pP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六、开标和评标</w:t>
      </w:r>
    </w:p>
    <w:p>
      <w:pPr>
        <w:snapToGrid w:val="0"/>
        <w:spacing w:line="420" w:lineRule="exact"/>
        <w:ind w:firstLine="527"/>
        <w:rPr>
          <w:rFonts w:hint="eastAsia" w:cs="Arial"/>
          <w:b/>
          <w:color w:val="auto"/>
          <w:sz w:val="22"/>
          <w:szCs w:val="22"/>
          <w:highlight w:val="none"/>
        </w:rPr>
      </w:pPr>
      <w:r>
        <w:rPr>
          <w:rFonts w:hint="eastAsia" w:cs="Arial"/>
          <w:b/>
          <w:color w:val="auto"/>
          <w:sz w:val="22"/>
          <w:szCs w:val="22"/>
          <w:highlight w:val="none"/>
        </w:rPr>
        <w:t>一）开标</w:t>
      </w:r>
    </w:p>
    <w:p>
      <w:pPr>
        <w:snapToGrid w:val="0"/>
        <w:spacing w:line="420" w:lineRule="exact"/>
        <w:ind w:firstLine="527"/>
        <w:rPr>
          <w:rFonts w:hint="eastAsia" w:cs="Arial"/>
          <w:b/>
          <w:color w:val="auto"/>
          <w:sz w:val="22"/>
          <w:szCs w:val="22"/>
          <w:highlight w:val="none"/>
        </w:rPr>
      </w:pPr>
      <w:r>
        <w:rPr>
          <w:rFonts w:hint="eastAsia" w:cs="Arial"/>
          <w:b/>
          <w:color w:val="auto"/>
          <w:sz w:val="22"/>
          <w:szCs w:val="22"/>
          <w:highlight w:val="none"/>
        </w:rPr>
        <w:t>1、开标形式</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2、</w:t>
      </w:r>
      <w:r>
        <w:rPr>
          <w:rFonts w:cs="Arial"/>
          <w:b/>
          <w:color w:val="auto"/>
          <w:sz w:val="22"/>
          <w:szCs w:val="22"/>
          <w:highlight w:val="none"/>
        </w:rPr>
        <w:t>开标准备</w:t>
      </w:r>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.1开标的准备工作由采购组织机构负责落实；</w:t>
      </w:r>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.2采购组织机构将按照招标文件规定的时间通过“政府采购云平台”组织开标、开启投标文件，所有供应商均应当准时在线参加。投标供应商</w:t>
      </w:r>
      <w:r>
        <w:rPr>
          <w:rFonts w:cs="Arial"/>
          <w:color w:val="auto"/>
          <w:sz w:val="22"/>
          <w:szCs w:val="22"/>
          <w:highlight w:val="none"/>
        </w:rPr>
        <w:t>如不</w:t>
      </w:r>
      <w:r>
        <w:rPr>
          <w:rFonts w:hint="eastAsia" w:cs="Arial"/>
          <w:color w:val="auto"/>
          <w:sz w:val="22"/>
          <w:szCs w:val="22"/>
          <w:highlight w:val="none"/>
        </w:rPr>
        <w:t>参加</w:t>
      </w:r>
      <w:r>
        <w:rPr>
          <w:rFonts w:cs="Arial"/>
          <w:color w:val="auto"/>
          <w:sz w:val="22"/>
          <w:szCs w:val="22"/>
          <w:highlight w:val="none"/>
        </w:rPr>
        <w:t>开标大会的，</w:t>
      </w:r>
      <w:r>
        <w:rPr>
          <w:rFonts w:hint="eastAsia" w:cs="Arial"/>
          <w:color w:val="auto"/>
          <w:sz w:val="22"/>
          <w:szCs w:val="22"/>
          <w:highlight w:val="none"/>
        </w:rPr>
        <w:t>视同认可开标结果，</w:t>
      </w:r>
      <w:r>
        <w:rPr>
          <w:rFonts w:cs="Arial"/>
          <w:color w:val="auto"/>
          <w:sz w:val="22"/>
          <w:szCs w:val="22"/>
          <w:highlight w:val="none"/>
        </w:rPr>
        <w:t>事后不得对采购相关人员、开标过程和开标结果提出异议</w:t>
      </w:r>
      <w:r>
        <w:rPr>
          <w:rFonts w:hint="eastAsia" w:cs="Arial"/>
          <w:color w:val="auto"/>
          <w:sz w:val="22"/>
          <w:szCs w:val="22"/>
          <w:highlight w:val="none"/>
        </w:rPr>
        <w:t>，同时投标供应商因未在线参加开标而导致投标文件无法按时解密等一切后果由供应商自己承担。</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w:t>
      </w:r>
      <w:r>
        <w:rPr>
          <w:rFonts w:cs="Arial"/>
          <w:color w:val="auto"/>
          <w:sz w:val="22"/>
          <w:szCs w:val="22"/>
          <w:highlight w:val="none"/>
        </w:rPr>
        <w:t>开标</w:t>
      </w:r>
      <w:r>
        <w:rPr>
          <w:rFonts w:hint="eastAsia" w:cs="Arial"/>
          <w:color w:val="auto"/>
          <w:sz w:val="22"/>
          <w:szCs w:val="22"/>
          <w:highlight w:val="none"/>
        </w:rPr>
        <w:t>流程（两阶段）</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3.1开标第一阶段</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1</w:t>
      </w:r>
      <w:r>
        <w:rPr>
          <w:rFonts w:hint="eastAsia" w:cs="Arial"/>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2</w:t>
      </w:r>
      <w:r>
        <w:rPr>
          <w:rFonts w:hint="eastAsia" w:cs="Arial"/>
          <w:color w:val="auto"/>
          <w:sz w:val="22"/>
          <w:szCs w:val="22"/>
          <w:highlight w:val="none"/>
        </w:rPr>
        <w:t>）投标文件解密结束，发送各投标人组织签署《政府采购活动现场确认声明书》；</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3</w:t>
      </w:r>
      <w:r>
        <w:rPr>
          <w:rFonts w:hint="eastAsia" w:cs="Arial"/>
          <w:color w:val="auto"/>
          <w:sz w:val="22"/>
          <w:szCs w:val="22"/>
          <w:highlight w:val="none"/>
        </w:rPr>
        <w:t>）开启投标文件，进入资格审查；</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4</w:t>
      </w:r>
      <w:r>
        <w:rPr>
          <w:rFonts w:hint="eastAsia" w:cs="Arial"/>
          <w:color w:val="auto"/>
          <w:sz w:val="22"/>
          <w:szCs w:val="22"/>
          <w:highlight w:val="none"/>
        </w:rPr>
        <w:t>）开启资格审查通过的投标供应商的商务技术文件进入符合性审查、商务技术评审；</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5</w:t>
      </w:r>
      <w:r>
        <w:rPr>
          <w:rFonts w:hint="eastAsia" w:cs="Arial"/>
          <w:color w:val="auto"/>
          <w:sz w:val="22"/>
          <w:szCs w:val="22"/>
          <w:highlight w:val="none"/>
        </w:rPr>
        <w:t>）第一阶段开标结束。</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3.2开标大会第二阶段</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（1）符合性审查、商务技术评审结束后，举行开标大会第二阶段会议。首先公布符合性审查、商务技术评审无效供应商名称及理由</w:t>
      </w:r>
      <w:r>
        <w:rPr>
          <w:rFonts w:cs="Arial"/>
          <w:color w:val="auto"/>
          <w:sz w:val="22"/>
          <w:szCs w:val="22"/>
          <w:highlight w:val="none"/>
        </w:rPr>
        <w:t>；公布经商务技术评审</w:t>
      </w:r>
      <w:r>
        <w:rPr>
          <w:rFonts w:hint="eastAsia" w:cs="Arial"/>
          <w:color w:val="auto"/>
          <w:sz w:val="22"/>
          <w:szCs w:val="22"/>
          <w:highlight w:val="none"/>
        </w:rPr>
        <w:t>后有效投标</w:t>
      </w:r>
      <w:r>
        <w:rPr>
          <w:rFonts w:cs="Arial"/>
          <w:color w:val="auto"/>
          <w:sz w:val="22"/>
          <w:szCs w:val="22"/>
          <w:highlight w:val="none"/>
        </w:rPr>
        <w:t>供应商</w:t>
      </w:r>
      <w:r>
        <w:rPr>
          <w:rFonts w:hint="eastAsia" w:cs="Arial"/>
          <w:color w:val="auto"/>
          <w:sz w:val="22"/>
          <w:szCs w:val="22"/>
          <w:highlight w:val="none"/>
        </w:rPr>
        <w:t>的</w:t>
      </w:r>
      <w:r>
        <w:rPr>
          <w:rFonts w:cs="Arial"/>
          <w:color w:val="auto"/>
          <w:sz w:val="22"/>
          <w:szCs w:val="22"/>
          <w:highlight w:val="none"/>
        </w:rPr>
        <w:t>名单，同时公布</w:t>
      </w:r>
      <w:r>
        <w:rPr>
          <w:rFonts w:hint="eastAsia" w:cs="Arial"/>
          <w:color w:val="auto"/>
          <w:sz w:val="22"/>
          <w:szCs w:val="22"/>
          <w:highlight w:val="none"/>
        </w:rPr>
        <w:t>其</w:t>
      </w:r>
      <w:r>
        <w:rPr>
          <w:rFonts w:cs="Arial"/>
          <w:color w:val="auto"/>
          <w:sz w:val="22"/>
          <w:szCs w:val="22"/>
          <w:highlight w:val="none"/>
        </w:rPr>
        <w:t>商务技术</w:t>
      </w:r>
      <w:r>
        <w:rPr>
          <w:rFonts w:hint="eastAsia" w:cs="Arial"/>
          <w:color w:val="auto"/>
          <w:sz w:val="22"/>
          <w:szCs w:val="22"/>
          <w:highlight w:val="none"/>
        </w:rPr>
        <w:t>部分</w:t>
      </w:r>
      <w:r>
        <w:rPr>
          <w:rFonts w:cs="Arial"/>
          <w:color w:val="auto"/>
          <w:sz w:val="22"/>
          <w:szCs w:val="22"/>
          <w:highlight w:val="none"/>
        </w:rPr>
        <w:t>得分情况</w:t>
      </w:r>
      <w:r>
        <w:rPr>
          <w:rFonts w:hint="eastAsia" w:cs="Arial"/>
          <w:color w:val="auto"/>
          <w:sz w:val="22"/>
          <w:szCs w:val="22"/>
          <w:highlight w:val="none"/>
        </w:rPr>
        <w:t>。</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（2）开启符合性审查、商务技术评审有效投标供应商的《报价文件》，公布</w:t>
      </w:r>
      <w:r>
        <w:rPr>
          <w:rFonts w:hint="eastAsia" w:cs="Arial"/>
          <w:color w:val="auto"/>
          <w:sz w:val="22"/>
          <w:szCs w:val="22"/>
          <w:highlight w:val="none"/>
          <w:lang w:eastAsia="zh-CN"/>
        </w:rPr>
        <w:t>报价一览表</w:t>
      </w:r>
      <w:r>
        <w:rPr>
          <w:rFonts w:hint="eastAsia" w:cs="Arial"/>
          <w:color w:val="auto"/>
          <w:sz w:val="22"/>
          <w:szCs w:val="22"/>
          <w:highlight w:val="none"/>
        </w:rPr>
        <w:t>有关内容</w:t>
      </w:r>
      <w:r>
        <w:rPr>
          <w:rFonts w:cs="Arial"/>
          <w:color w:val="auto"/>
          <w:sz w:val="22"/>
          <w:szCs w:val="22"/>
          <w:highlight w:val="none"/>
        </w:rPr>
        <w:t>。</w:t>
      </w:r>
      <w:r>
        <w:rPr>
          <w:rFonts w:hint="eastAsia" w:cs="Arial"/>
          <w:color w:val="auto"/>
          <w:sz w:val="22"/>
          <w:szCs w:val="22"/>
          <w:highlight w:val="none"/>
        </w:rPr>
        <w:t>供应商</w:t>
      </w:r>
      <w:r>
        <w:rPr>
          <w:rFonts w:cs="Arial"/>
          <w:color w:val="auto"/>
          <w:sz w:val="22"/>
          <w:szCs w:val="22"/>
          <w:highlight w:val="none"/>
        </w:rPr>
        <w:t>签字确认（不予确认的应说明理由，否则视为无异议）唱标结束后，由评标委员会对报价的合理性、准确性等进行审查核实</w:t>
      </w:r>
      <w:r>
        <w:rPr>
          <w:rFonts w:hint="eastAsia" w:cs="Arial"/>
          <w:color w:val="auto"/>
          <w:sz w:val="22"/>
          <w:szCs w:val="22"/>
          <w:highlight w:val="none"/>
        </w:rPr>
        <w:t>。</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（3）评审结束后，公布中标（成交）候选供应商名单，及采购人最终确定中标或成交供应商名单的时间和公告方式等。</w:t>
      </w:r>
    </w:p>
    <w:p>
      <w:pPr>
        <w:snapToGrid w:val="0"/>
        <w:spacing w:line="420" w:lineRule="exact"/>
        <w:ind w:firstLine="527"/>
        <w:rPr>
          <w:rFonts w:hint="eastAsia" w:cs="Arial"/>
          <w:b/>
          <w:color w:val="auto"/>
          <w:sz w:val="22"/>
          <w:szCs w:val="22"/>
          <w:highlight w:val="none"/>
        </w:rPr>
      </w:pPr>
      <w:r>
        <w:rPr>
          <w:rFonts w:hint="eastAsia" w:cs="Arial"/>
          <w:b/>
          <w:color w:val="auto"/>
          <w:sz w:val="22"/>
          <w:szCs w:val="22"/>
          <w:highlight w:val="none"/>
        </w:rPr>
        <w:t>特别说明：如遇“政府采购云平台”电子化开标或评审程序调整的，按调整后程序执行。</w:t>
      </w:r>
    </w:p>
    <w:p>
      <w:pPr>
        <w:snapToGrid w:val="0"/>
        <w:spacing w:line="420" w:lineRule="exact"/>
        <w:ind w:firstLine="527"/>
        <w:rPr>
          <w:rFonts w:hint="eastAsia" w:cs="Arial"/>
          <w:b/>
          <w:color w:val="auto"/>
          <w:sz w:val="22"/>
          <w:szCs w:val="22"/>
          <w:highlight w:val="none"/>
        </w:rPr>
      </w:pPr>
      <w:bookmarkStart w:id="12" w:name="_Toc24550037"/>
      <w:bookmarkStart w:id="13" w:name="_Toc33194393"/>
      <w:r>
        <w:rPr>
          <w:rFonts w:hint="eastAsia" w:cs="Arial"/>
          <w:b/>
          <w:color w:val="auto"/>
          <w:sz w:val="22"/>
          <w:szCs w:val="22"/>
          <w:highlight w:val="none"/>
        </w:rPr>
        <w:t>4、投标供应商资格审查</w:t>
      </w:r>
      <w:bookmarkEnd w:id="12"/>
      <w:bookmarkEnd w:id="13"/>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.1开标大会第一阶段结束后，采购人或采购代理机构首先依法对各投标供应商的资格进行审查，审查各投标供应商的资格是否满足招标文件的要求。</w:t>
      </w:r>
      <w:r>
        <w:rPr>
          <w:rFonts w:cs="Arial"/>
          <w:color w:val="auto"/>
          <w:sz w:val="22"/>
          <w:szCs w:val="22"/>
          <w:highlight w:val="none"/>
        </w:rPr>
        <w:t>采购人或采购代理机构对投标</w:t>
      </w:r>
      <w:r>
        <w:rPr>
          <w:rFonts w:hint="eastAsia" w:cs="Arial"/>
          <w:color w:val="auto"/>
          <w:sz w:val="22"/>
          <w:szCs w:val="22"/>
          <w:highlight w:val="none"/>
        </w:rPr>
        <w:t>供应商</w:t>
      </w:r>
      <w:r>
        <w:rPr>
          <w:rFonts w:cs="Arial"/>
          <w:color w:val="auto"/>
          <w:sz w:val="22"/>
          <w:szCs w:val="22"/>
          <w:highlight w:val="none"/>
        </w:rPr>
        <w:t>所</w:t>
      </w:r>
      <w:r>
        <w:rPr>
          <w:rFonts w:hint="eastAsia" w:cs="Arial"/>
          <w:color w:val="auto"/>
          <w:sz w:val="22"/>
          <w:szCs w:val="22"/>
          <w:highlight w:val="none"/>
        </w:rPr>
        <w:t>提交</w:t>
      </w:r>
      <w:r>
        <w:rPr>
          <w:rFonts w:cs="Arial"/>
          <w:color w:val="auto"/>
          <w:sz w:val="22"/>
          <w:szCs w:val="22"/>
          <w:highlight w:val="none"/>
        </w:rPr>
        <w:t>的资格证明材料仅负审核的责任。如发现投标</w:t>
      </w:r>
      <w:r>
        <w:rPr>
          <w:rFonts w:hint="eastAsia" w:cs="Arial"/>
          <w:color w:val="auto"/>
          <w:sz w:val="22"/>
          <w:szCs w:val="22"/>
          <w:highlight w:val="none"/>
        </w:rPr>
        <w:t>供应商</w:t>
      </w:r>
      <w:r>
        <w:rPr>
          <w:rFonts w:cs="Arial"/>
          <w:color w:val="auto"/>
          <w:sz w:val="22"/>
          <w:szCs w:val="22"/>
          <w:highlight w:val="none"/>
        </w:rPr>
        <w:t>所提</w:t>
      </w:r>
      <w:r>
        <w:rPr>
          <w:rFonts w:hint="eastAsia" w:cs="Arial"/>
          <w:color w:val="auto"/>
          <w:sz w:val="22"/>
          <w:szCs w:val="22"/>
          <w:highlight w:val="none"/>
        </w:rPr>
        <w:t>交</w:t>
      </w:r>
      <w:r>
        <w:rPr>
          <w:rFonts w:cs="Arial"/>
          <w:color w:val="auto"/>
          <w:sz w:val="22"/>
          <w:szCs w:val="22"/>
          <w:highlight w:val="none"/>
        </w:rPr>
        <w:t>的资格证明材料不合法或</w:t>
      </w:r>
      <w:r>
        <w:rPr>
          <w:rFonts w:hint="eastAsia" w:cs="Arial"/>
          <w:color w:val="auto"/>
          <w:sz w:val="22"/>
          <w:szCs w:val="22"/>
          <w:highlight w:val="none"/>
        </w:rPr>
        <w:t>与事实不符</w:t>
      </w:r>
      <w:r>
        <w:rPr>
          <w:rFonts w:cs="Arial"/>
          <w:color w:val="auto"/>
          <w:sz w:val="22"/>
          <w:szCs w:val="22"/>
          <w:highlight w:val="none"/>
        </w:rPr>
        <w:t>，采购人可取消</w:t>
      </w:r>
      <w:r>
        <w:rPr>
          <w:rFonts w:hint="eastAsia" w:cs="Arial"/>
          <w:color w:val="auto"/>
          <w:sz w:val="22"/>
          <w:szCs w:val="22"/>
          <w:highlight w:val="none"/>
        </w:rPr>
        <w:t>其</w:t>
      </w:r>
      <w:r>
        <w:rPr>
          <w:rFonts w:cs="Arial"/>
          <w:color w:val="auto"/>
          <w:sz w:val="22"/>
          <w:szCs w:val="22"/>
          <w:highlight w:val="none"/>
        </w:rPr>
        <w:t>中标资格并追究投标</w:t>
      </w:r>
      <w:r>
        <w:rPr>
          <w:rFonts w:hint="eastAsia" w:cs="Arial"/>
          <w:color w:val="auto"/>
          <w:sz w:val="22"/>
          <w:szCs w:val="22"/>
          <w:highlight w:val="none"/>
        </w:rPr>
        <w:t>供应商</w:t>
      </w:r>
      <w:r>
        <w:rPr>
          <w:rFonts w:cs="Arial"/>
          <w:color w:val="auto"/>
          <w:sz w:val="22"/>
          <w:szCs w:val="22"/>
          <w:highlight w:val="none"/>
        </w:rPr>
        <w:t>的法律责任。</w:t>
      </w:r>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hint="eastAsia" w:cs="Arial"/>
          <w:b/>
          <w:color w:val="auto"/>
          <w:sz w:val="22"/>
          <w:szCs w:val="22"/>
          <w:highlight w:val="none"/>
        </w:rPr>
      </w:pPr>
      <w:r>
        <w:rPr>
          <w:rFonts w:hint="eastAsia" w:cs="Arial"/>
          <w:b/>
          <w:color w:val="auto"/>
          <w:sz w:val="22"/>
          <w:szCs w:val="22"/>
          <w:highlight w:val="none"/>
        </w:rPr>
        <w:t>二）评标</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2.1评标由采购人依法组建的评标委员会负责</w:t>
      </w:r>
      <w:r>
        <w:rPr>
          <w:rFonts w:hint="eastAsia"/>
          <w:color w:val="auto"/>
          <w:sz w:val="22"/>
          <w:szCs w:val="22"/>
          <w:highlight w:val="none"/>
        </w:rPr>
        <w:t>，并独立履行下列职责：</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1）审查投标文件是否符合招标文件要求，并作出评价；</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2）要求投标供应商对投标文件有关事项作出解释或者澄清；</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3）根据采购人授权确定中标供应商；</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4）向采购代理机构或者有关部门报告非法干预评标工作的行为。</w:t>
      </w:r>
    </w:p>
    <w:p>
      <w:pP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2.2、评标应当遵循下列工作程序：</w:t>
      </w:r>
    </w:p>
    <w:p>
      <w:pPr>
        <w:snapToGrid w:val="0"/>
        <w:spacing w:line="420" w:lineRule="exact"/>
        <w:rPr>
          <w:rFonts w:hint="eastAsia" w:cs="Arial"/>
          <w:b/>
          <w:color w:val="auto"/>
          <w:sz w:val="22"/>
          <w:szCs w:val="22"/>
          <w:highlight w:val="none"/>
          <w:u w:val="single"/>
        </w:rPr>
      </w:pPr>
      <w:r>
        <w:rPr>
          <w:rFonts w:hint="eastAsia"/>
          <w:color w:val="auto"/>
          <w:sz w:val="22"/>
          <w:szCs w:val="22"/>
          <w:highlight w:val="none"/>
        </w:rPr>
        <w:t xml:space="preserve">    1）投标文件初审。初审分为资格性检查和符合性检查。</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color w:val="auto"/>
          <w:sz w:val="22"/>
          <w:szCs w:val="22"/>
          <w:highlight w:val="none"/>
        </w:rPr>
        <w:t>投标</w:t>
      </w:r>
      <w:r>
        <w:rPr>
          <w:rFonts w:hint="eastAsia"/>
          <w:color w:val="auto"/>
          <w:sz w:val="22"/>
          <w:szCs w:val="22"/>
          <w:highlight w:val="none"/>
        </w:rPr>
        <w:t>供应商</w:t>
      </w:r>
      <w:r>
        <w:rPr>
          <w:color w:val="auto"/>
          <w:sz w:val="22"/>
          <w:szCs w:val="22"/>
          <w:highlight w:val="none"/>
        </w:rPr>
        <w:t>资格文件</w:t>
      </w:r>
      <w:r>
        <w:rPr>
          <w:rFonts w:hint="eastAsia"/>
          <w:color w:val="auto"/>
          <w:sz w:val="22"/>
          <w:szCs w:val="22"/>
          <w:highlight w:val="none"/>
        </w:rPr>
        <w:t>等进行审查，以确定投标供应商是否具备投标资格。</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hint="eastAsia"/>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pPr>
        <w:pStyle w:val="10"/>
        <w:adjustRightInd w:val="0"/>
        <w:snapToGrid w:val="0"/>
        <w:spacing w:line="420" w:lineRule="exact"/>
        <w:ind w:firstLine="440" w:firstLineChars="200"/>
        <w:rPr>
          <w:rFonts w:hint="eastAsia" w:hAnsi="宋体" w:cs="Arial"/>
          <w:b/>
          <w:color w:val="auto"/>
          <w:sz w:val="22"/>
          <w:szCs w:val="22"/>
          <w:highlight w:val="none"/>
          <w:u w:val="single"/>
        </w:rPr>
      </w:pPr>
      <w:r>
        <w:rPr>
          <w:rFonts w:hint="eastAsia" w:hAnsi="宋体" w:cs="Arial"/>
          <w:color w:val="auto"/>
          <w:sz w:val="22"/>
          <w:szCs w:val="22"/>
          <w:highlight w:val="none"/>
        </w:rPr>
        <w:t>2.4、</w:t>
      </w:r>
      <w:r>
        <w:rPr>
          <w:rFonts w:hint="eastAsia" w:hAnsi="宋体" w:cs="Arial"/>
          <w:b/>
          <w:color w:val="auto"/>
          <w:sz w:val="22"/>
          <w:szCs w:val="22"/>
          <w:highlight w:val="none"/>
          <w:u w:val="single"/>
        </w:rPr>
        <w:t>评标委员会发现投标文件有下列情形之一的属于重大偏差(评标委员会按少数服从多数原则认定),按照无效投标处理：</w:t>
      </w:r>
    </w:p>
    <w:p>
      <w:pPr>
        <w:pStyle w:val="10"/>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1）未按招标文件要求编制或字迹模糊、辨认不清的投标文件；</w:t>
      </w:r>
    </w:p>
    <w:p>
      <w:pPr>
        <w:pStyle w:val="10"/>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2）投标文件存在一个或一个以上备选（替代）投标方案的；仅提交“备份投标文件”的；</w:t>
      </w:r>
    </w:p>
    <w:p>
      <w:pPr>
        <w:pStyle w:val="10"/>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3）没有按招标文件格式要求加盖有效公章、无法定代表人（或授权代表）签字或印章（具体格式见招标文件附件—投标文件格式）；</w:t>
      </w:r>
    </w:p>
    <w:p>
      <w:pPr>
        <w:pStyle w:val="10"/>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4）投标文件未有效授权，法定代表人授权委托书等填写不完整或有涂改的；</w:t>
      </w:r>
    </w:p>
    <w:p>
      <w:pPr>
        <w:pStyle w:val="10"/>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5）供应商商务技术投标文件中出现投标产品的本项目报价；</w:t>
      </w:r>
    </w:p>
    <w:p>
      <w:pPr>
        <w:pStyle w:val="10"/>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6）文件组成内容不齐全，本招标文件规定必须提供而未提供的（属于资格审查范围的除外）；明显不符合要求的投标文件；</w:t>
      </w:r>
    </w:p>
    <w:p>
      <w:pPr>
        <w:pStyle w:val="10"/>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7）付款方式、服务期出现负偏差的；</w:t>
      </w:r>
    </w:p>
    <w:p>
      <w:pPr>
        <w:pStyle w:val="10"/>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8）投标文件附有采购人不能接受的条款；</w:t>
      </w:r>
    </w:p>
    <w:p>
      <w:pPr>
        <w:pStyle w:val="10"/>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9）不符合招标文件中规定的实质性要求的投标文件，是否为偏离实质性要求由评标委员会认定。</w:t>
      </w:r>
    </w:p>
    <w:p>
      <w:pPr>
        <w:pStyle w:val="10"/>
        <w:adjustRightInd w:val="0"/>
        <w:snapToGrid w:val="0"/>
        <w:spacing w:line="420" w:lineRule="exact"/>
        <w:ind w:firstLine="431" w:firstLineChars="196"/>
        <w:rPr>
          <w:rFonts w:hint="eastAsia"/>
          <w:color w:val="auto"/>
          <w:highlight w:val="none"/>
        </w:rPr>
      </w:pPr>
      <w:r>
        <w:rPr>
          <w:rFonts w:hint="eastAsia" w:cs="Arial"/>
          <w:color w:val="auto"/>
          <w:sz w:val="22"/>
          <w:szCs w:val="22"/>
          <w:highlight w:val="none"/>
        </w:rPr>
        <w:t>10）</w:t>
      </w:r>
      <w:r>
        <w:rPr>
          <w:rFonts w:cs="Arial"/>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0"/>
        <w:adjustRightInd w:val="0"/>
        <w:snapToGrid w:val="0"/>
        <w:spacing w:line="420" w:lineRule="exact"/>
        <w:ind w:firstLine="431" w:firstLineChars="196"/>
        <w:rPr>
          <w:rFonts w:cs="Arial"/>
          <w:color w:val="auto"/>
          <w:sz w:val="22"/>
          <w:szCs w:val="22"/>
          <w:highlight w:val="none"/>
        </w:rPr>
      </w:pPr>
      <w:r>
        <w:rPr>
          <w:rFonts w:hint="eastAsia" w:cs="Arial"/>
          <w:color w:val="auto"/>
          <w:sz w:val="22"/>
          <w:szCs w:val="22"/>
          <w:highlight w:val="none"/>
        </w:rPr>
        <w:t>11）</w:t>
      </w:r>
      <w:r>
        <w:rPr>
          <w:rFonts w:cs="Arial"/>
          <w:color w:val="auto"/>
          <w:sz w:val="22"/>
          <w:szCs w:val="22"/>
          <w:highlight w:val="none"/>
        </w:rPr>
        <w:t>有下列情形之一的，视为投标供应商串通投标，其投标无效：</w:t>
      </w:r>
    </w:p>
    <w:p>
      <w:pPr>
        <w:pStyle w:val="10"/>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（一）不同投标供应商的投标文件由同一单位或者个人编制；</w:t>
      </w:r>
    </w:p>
    <w:p>
      <w:pPr>
        <w:pStyle w:val="10"/>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（二）不同投标供应商委托同一单位或者个人办理投标事宜；</w:t>
      </w:r>
    </w:p>
    <w:p>
      <w:pPr>
        <w:pStyle w:val="10"/>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（三）不同投标供应商的投标文件载明的项目管理成员或者联系人员为同一人；</w:t>
      </w:r>
    </w:p>
    <w:p>
      <w:pPr>
        <w:pStyle w:val="10"/>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（四）不同投标供应商的投标文件异常一致或者投标报价呈规律性差异；</w:t>
      </w:r>
    </w:p>
    <w:p>
      <w:pPr>
        <w:pStyle w:val="10"/>
        <w:adjustRightInd w:val="0"/>
        <w:snapToGrid w:val="0"/>
        <w:spacing w:line="420" w:lineRule="exact"/>
        <w:ind w:firstLine="431" w:firstLineChars="196"/>
        <w:rPr>
          <w:rFonts w:hint="eastAsia" w:cs="Arial"/>
          <w:color w:val="auto"/>
          <w:sz w:val="22"/>
          <w:szCs w:val="22"/>
          <w:highlight w:val="none"/>
        </w:rPr>
      </w:pPr>
      <w:r>
        <w:rPr>
          <w:rFonts w:cs="Arial"/>
          <w:color w:val="auto"/>
          <w:sz w:val="22"/>
          <w:szCs w:val="22"/>
          <w:highlight w:val="none"/>
        </w:rPr>
        <w:t>　　（五）不同投标供应商的投标文件相互混装；　　</w:t>
      </w:r>
    </w:p>
    <w:p>
      <w:pPr>
        <w:pStyle w:val="10"/>
        <w:adjustRightInd w:val="0"/>
        <w:snapToGrid w:val="0"/>
        <w:spacing w:line="420" w:lineRule="exact"/>
        <w:ind w:firstLine="431" w:firstLineChars="196"/>
        <w:rPr>
          <w:rFonts w:hint="eastAsia" w:hAnsi="宋体" w:cs="Arial"/>
          <w:color w:val="auto"/>
          <w:sz w:val="22"/>
          <w:szCs w:val="22"/>
          <w:highlight w:val="none"/>
          <w:u w:val="single"/>
        </w:rPr>
      </w:pPr>
      <w:r>
        <w:rPr>
          <w:rFonts w:hint="eastAsia" w:hAnsi="宋体" w:cs="Arial"/>
          <w:color w:val="auto"/>
          <w:sz w:val="22"/>
          <w:szCs w:val="22"/>
          <w:highlight w:val="none"/>
        </w:rPr>
        <w:t>12）其他经评标委员会认定的未能在实质上响应的或违反国家有关规定的投标文件。</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2.6、评标委员会对投标文件的判定，只依据投标内容本身，不依靠开标后的任何外来证明。</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2.7、评标委员会在评标中，不得改变招标文件中规定的评标标准、方法和中标条件。</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3.投标文件的澄清</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3.1对于投标文件中含义不明确、同类问题表述不一致或者有明显文字和计算错误的内容，评标委员会将以书面形式（或通过“政府采购云平台”在线询标）的形式要求</w:t>
      </w:r>
      <w:r>
        <w:rPr>
          <w:rFonts w:cs="Arial"/>
          <w:color w:val="auto"/>
          <w:sz w:val="22"/>
          <w:szCs w:val="22"/>
          <w:highlight w:val="none"/>
        </w:rPr>
        <w:t>投标供应商</w:t>
      </w:r>
      <w:r>
        <w:rPr>
          <w:rFonts w:hint="eastAsia" w:cs="Arial"/>
          <w:color w:val="auto"/>
          <w:sz w:val="22"/>
          <w:szCs w:val="22"/>
          <w:highlight w:val="none"/>
        </w:rPr>
        <w:t>在规定的时间内作出必要的澄清、说明或者补正，投标供应商澄清、说明或补正时间为30分钟。</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3.2</w:t>
      </w:r>
      <w:r>
        <w:rPr>
          <w:rFonts w:cs="Arial"/>
          <w:color w:val="auto"/>
          <w:sz w:val="22"/>
          <w:szCs w:val="22"/>
          <w:highlight w:val="none"/>
        </w:rPr>
        <w:t>投标供应商</w:t>
      </w:r>
      <w:r>
        <w:rPr>
          <w:rFonts w:hint="eastAsia" w:cs="Arial"/>
          <w:color w:val="auto"/>
          <w:sz w:val="22"/>
          <w:szCs w:val="22"/>
          <w:highlight w:val="none"/>
        </w:rPr>
        <w:t>的澄清、说明或者补正应当采用书面（或通过“政府采购云平台”在线答复）形式提交，并加盖公章，或者由法定代表人或其授权的代表签字。</w:t>
      </w:r>
      <w:r>
        <w:rPr>
          <w:rFonts w:cs="Arial"/>
          <w:color w:val="auto"/>
          <w:sz w:val="22"/>
          <w:szCs w:val="22"/>
          <w:highlight w:val="none"/>
        </w:rPr>
        <w:t>投标供应商</w:t>
      </w:r>
      <w:r>
        <w:rPr>
          <w:rFonts w:hint="eastAsia" w:cs="Arial"/>
          <w:color w:val="auto"/>
          <w:sz w:val="22"/>
          <w:szCs w:val="22"/>
          <w:highlight w:val="none"/>
        </w:rPr>
        <w:t>的澄清、说明或者补正不得超出投标文件的范围或者改变投标文件的实质性内容。</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4、在采购中，出现下列情形之一的，应予废标：</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 xml:space="preserve">(1) 截止时间及评审期间，出现有效供应商不足三家的，作流（废）标处理，并重新组织招标。 </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(2)出现影响采购公正的违法、违规行为的；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(3)报价均超过预算，不能支付的；</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(4)因重大变故，采购任务取消的。</w:t>
      </w:r>
    </w:p>
    <w:p>
      <w:pPr>
        <w:adjustRightInd w:val="0"/>
        <w:snapToGrid w:val="0"/>
        <w:spacing w:line="420" w:lineRule="exact"/>
        <w:ind w:firstLine="442" w:firstLineChars="200"/>
        <w:rPr>
          <w:rFonts w:hint="eastAsia" w:cs="Arial"/>
          <w:b/>
          <w:color w:val="auto"/>
          <w:sz w:val="22"/>
          <w:szCs w:val="22"/>
          <w:highlight w:val="none"/>
        </w:rPr>
      </w:pPr>
      <w:r>
        <w:rPr>
          <w:rFonts w:hint="eastAsia" w:cs="Arial"/>
          <w:b/>
          <w:color w:val="auto"/>
          <w:sz w:val="22"/>
          <w:szCs w:val="22"/>
          <w:highlight w:val="none"/>
        </w:rPr>
        <w:t>5、可中止电子交易活动的情形</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1）电子交易平台发生故障而无法登录访问的；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2）电子交易平台应用或数据库出现错误，不能进行正常操作的；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3）电子交易平台发现严重安全漏洞，有潜在泄密危险的；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4）病毒发作导致不能进行正常操作的；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5）其他无法保证电子交易的公平、公正和安全的情况。</w:t>
      </w:r>
    </w:p>
    <w:p>
      <w:pPr>
        <w:adjustRightInd w:val="0"/>
        <w:snapToGrid w:val="0"/>
        <w:spacing w:line="420" w:lineRule="exact"/>
        <w:ind w:firstLine="442" w:firstLineChars="200"/>
        <w:rPr>
          <w:rFonts w:hint="eastAsia" w:cs="Arial"/>
          <w:b/>
          <w:color w:val="auto"/>
          <w:sz w:val="22"/>
          <w:szCs w:val="22"/>
          <w:highlight w:val="none"/>
        </w:rPr>
      </w:pPr>
      <w:r>
        <w:rPr>
          <w:rFonts w:hint="eastAsia" w:cs="Arial"/>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6、评标原则</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评标委员会按照招标文件的要求和条件对投标文件进行资格、商务和技术评估，综合比较与评价。</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评标办法具体见本招标文件第六部分。</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7、评标过程中遇到特殊情况，由评标委员会遵循公开、公正原则，采取投票方式按照少数服从多数原则决定。</w:t>
      </w:r>
    </w:p>
    <w:p>
      <w:pP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七、授予合同</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1、决标</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pPr>
        <w:snapToGrid w:val="0"/>
        <w:spacing w:line="420" w:lineRule="exact"/>
        <w:ind w:firstLine="545" w:firstLineChars="248"/>
        <w:rPr>
          <w:rFonts w:hint="eastAsia"/>
          <w:color w:val="auto"/>
          <w:sz w:val="22"/>
          <w:szCs w:val="22"/>
          <w:highlight w:val="none"/>
        </w:rPr>
      </w:pPr>
      <w:r>
        <w:rPr>
          <w:rFonts w:hint="eastAsia"/>
          <w:color w:val="auto"/>
          <w:sz w:val="22"/>
          <w:szCs w:val="22"/>
          <w:highlight w:val="none"/>
        </w:rPr>
        <w:t>2、中标通知书</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2.1、</w:t>
      </w:r>
      <w:r>
        <w:rPr>
          <w:rFonts w:hint="eastAsia" w:cs="Arial"/>
          <w:color w:val="auto"/>
          <w:sz w:val="22"/>
          <w:szCs w:val="22"/>
          <w:highlight w:val="none"/>
        </w:rPr>
        <w:t>招标机构</w:t>
      </w:r>
      <w:r>
        <w:rPr>
          <w:rFonts w:hint="eastAsia"/>
          <w:color w:val="auto"/>
          <w:spacing w:val="10"/>
          <w:sz w:val="22"/>
          <w:szCs w:val="22"/>
          <w:highlight w:val="none"/>
        </w:rPr>
        <w:t>在浙江省政府采购网和温州市公共资源交易网平阳县分网上公告中标结果。</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3、评标委员会对未中标的供应商不作落标原因解释。</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4、签订合同</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4.1、中标供应商领取中标通知书后与采购人签订合同（采购结果公告发出后30日内）。中标供应商未经采购人许可，在规定时间内未与采购人签订合同，则视为拒签合同。</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4.3 拒签合同的责任</w:t>
      </w:r>
    </w:p>
    <w:p>
      <w:pPr>
        <w:autoSpaceDE w:val="0"/>
        <w:autoSpaceDN w:val="0"/>
        <w:adjustRightInd w:val="0"/>
        <w:snapToGrid w:val="0"/>
        <w:spacing w:line="420" w:lineRule="exact"/>
        <w:ind w:firstLine="440" w:firstLineChars="200"/>
        <w:textAlignment w:val="bottom"/>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0"/>
        <w:adjustRightInd w:val="0"/>
        <w:snapToGrid w:val="0"/>
        <w:spacing w:line="420" w:lineRule="exact"/>
        <w:rPr>
          <w:rFonts w:hint="eastAsia"/>
          <w:color w:val="auto"/>
          <w:sz w:val="22"/>
          <w:szCs w:val="22"/>
          <w:highlight w:val="none"/>
        </w:rPr>
      </w:pPr>
      <w:r>
        <w:rPr>
          <w:rFonts w:hint="eastAsia" w:hAnsi="宋体"/>
          <w:color w:val="auto"/>
          <w:sz w:val="22"/>
          <w:szCs w:val="22"/>
          <w:highlight w:val="none"/>
        </w:rPr>
        <w:t xml:space="preserve">  </w:t>
      </w:r>
      <w:r>
        <w:rPr>
          <w:rFonts w:hint="eastAsia"/>
          <w:color w:val="auto"/>
          <w:sz w:val="22"/>
          <w:szCs w:val="22"/>
          <w:highlight w:val="none"/>
        </w:rPr>
        <w:t>5</w:t>
      </w:r>
      <w:r>
        <w:rPr>
          <w:rFonts w:hint="eastAsia" w:cs="仿宋_GB2312"/>
          <w:color w:val="auto"/>
          <w:sz w:val="22"/>
          <w:szCs w:val="22"/>
          <w:highlight w:val="none"/>
          <w:lang w:val="zh-CN"/>
        </w:rPr>
        <w:t>、</w:t>
      </w:r>
      <w:r>
        <w:rPr>
          <w:rFonts w:hint="eastAsia"/>
          <w:color w:val="auto"/>
          <w:sz w:val="22"/>
          <w:szCs w:val="22"/>
          <w:highlight w:val="none"/>
        </w:rPr>
        <w:t>招标代理服务费</w:t>
      </w:r>
    </w:p>
    <w:p>
      <w:pPr>
        <w:autoSpaceDE w:val="0"/>
        <w:autoSpaceDN w:val="0"/>
        <w:adjustRightInd w:val="0"/>
        <w:snapToGrid w:val="0"/>
        <w:spacing w:line="420" w:lineRule="exact"/>
        <w:ind w:firstLine="468" w:firstLineChars="212"/>
        <w:textAlignment w:val="bottom"/>
        <w:rPr>
          <w:rFonts w:hint="eastAsia"/>
          <w:color w:val="auto"/>
          <w:sz w:val="22"/>
          <w:szCs w:val="22"/>
          <w:highlight w:val="none"/>
        </w:rPr>
      </w:pPr>
      <w:r>
        <w:rPr>
          <w:rFonts w:hint="eastAsia"/>
          <w:b/>
          <w:color w:val="auto"/>
          <w:sz w:val="22"/>
          <w:szCs w:val="22"/>
          <w:highlight w:val="none"/>
        </w:rPr>
        <w:t>5.1中标供应商在领取中标通知书前向招标代理机构支付招标代理服务费（根据国家计委印发的《招标代理服务收费管理暂行办法》</w:t>
      </w:r>
      <w:r>
        <w:rPr>
          <w:b/>
          <w:color w:val="auto"/>
          <w:sz w:val="22"/>
          <w:szCs w:val="22"/>
          <w:highlight w:val="none"/>
        </w:rPr>
        <w:t>(计价格【2002】1980号文)</w:t>
      </w:r>
      <w:r>
        <w:rPr>
          <w:rFonts w:hint="eastAsia"/>
          <w:b/>
          <w:color w:val="auto"/>
          <w:sz w:val="22"/>
          <w:szCs w:val="22"/>
          <w:highlight w:val="none"/>
        </w:rPr>
        <w:t>货物</w:t>
      </w:r>
      <w:r>
        <w:rPr>
          <w:b/>
          <w:color w:val="auto"/>
          <w:sz w:val="22"/>
          <w:szCs w:val="22"/>
          <w:highlight w:val="none"/>
        </w:rPr>
        <w:t>类收费）</w:t>
      </w:r>
      <w:r>
        <w:rPr>
          <w:rFonts w:hint="eastAsia"/>
          <w:b/>
          <w:color w:val="auto"/>
          <w:sz w:val="22"/>
          <w:szCs w:val="22"/>
          <w:highlight w:val="none"/>
        </w:rPr>
        <w:t>，招标代理服务费包含在投标总价中。</w:t>
      </w:r>
      <w:r>
        <w:rPr>
          <w:rFonts w:hint="eastAsia"/>
          <w:color w:val="auto"/>
          <w:sz w:val="22"/>
          <w:highlight w:val="none"/>
        </w:rPr>
        <w:t>招标代理服务费汇入以下帐号：</w:t>
      </w:r>
    </w:p>
    <w:p>
      <w:pPr>
        <w:snapToGrid w:val="0"/>
        <w:spacing w:line="460" w:lineRule="exact"/>
        <w:ind w:firstLine="431" w:firstLineChars="196"/>
        <w:rPr>
          <w:color w:val="auto"/>
          <w:sz w:val="22"/>
          <w:szCs w:val="22"/>
          <w:highlight w:val="none"/>
        </w:rPr>
      </w:pPr>
      <w:r>
        <w:rPr>
          <w:rFonts w:hint="eastAsia"/>
          <w:color w:val="auto"/>
          <w:sz w:val="22"/>
          <w:szCs w:val="22"/>
          <w:highlight w:val="none"/>
        </w:rPr>
        <w:t>开户银行：温州银行股份有限公司平阳支行</w:t>
      </w:r>
    </w:p>
    <w:p>
      <w:pPr>
        <w:snapToGrid w:val="0"/>
        <w:spacing w:line="460" w:lineRule="exact"/>
        <w:ind w:firstLine="431" w:firstLineChars="196"/>
        <w:rPr>
          <w:rFonts w:hint="eastAsia"/>
          <w:color w:val="auto"/>
          <w:sz w:val="22"/>
          <w:szCs w:val="22"/>
          <w:highlight w:val="none"/>
        </w:rPr>
      </w:pPr>
      <w:r>
        <w:rPr>
          <w:rFonts w:hint="eastAsia"/>
          <w:color w:val="auto"/>
          <w:sz w:val="22"/>
          <w:szCs w:val="22"/>
          <w:highlight w:val="none"/>
        </w:rPr>
        <w:t>开户名称：浙江名进建设项目管理有限公司平阳分公司</w:t>
      </w:r>
    </w:p>
    <w:p>
      <w:pPr>
        <w:autoSpaceDE w:val="0"/>
        <w:autoSpaceDN w:val="0"/>
        <w:adjustRightInd w:val="0"/>
        <w:snapToGrid w:val="0"/>
        <w:spacing w:line="420" w:lineRule="exact"/>
        <w:ind w:firstLine="480"/>
        <w:rPr>
          <w:color w:val="auto"/>
          <w:sz w:val="22"/>
          <w:szCs w:val="22"/>
          <w:highlight w:val="none"/>
        </w:rPr>
      </w:pPr>
      <w:r>
        <w:rPr>
          <w:rFonts w:hint="eastAsia"/>
          <w:color w:val="auto"/>
          <w:sz w:val="22"/>
          <w:szCs w:val="22"/>
          <w:highlight w:val="none"/>
        </w:rPr>
        <w:t>开户帐号：801000120190034329</w:t>
      </w:r>
    </w:p>
    <w:p>
      <w:pPr>
        <w:jc w:val="center"/>
        <w:rPr>
          <w:rFonts w:hint="eastAsia"/>
          <w:color w:val="auto"/>
          <w:sz w:val="32"/>
          <w:szCs w:val="32"/>
          <w:highlight w:val="none"/>
          <w:lang w:val="zh-CN"/>
        </w:rPr>
      </w:pPr>
    </w:p>
    <w:p>
      <w:pPr>
        <w:jc w:val="both"/>
        <w:rPr>
          <w:rFonts w:hint="eastAsia"/>
          <w:color w:val="auto"/>
          <w:sz w:val="32"/>
          <w:szCs w:val="32"/>
          <w:highlight w:val="none"/>
          <w:lang w:val="zh-CN"/>
        </w:rPr>
      </w:pPr>
    </w:p>
    <w:p>
      <w:pPr>
        <w:pStyle w:val="2"/>
        <w:rPr>
          <w:rFonts w:hint="eastAsia"/>
          <w:color w:val="auto"/>
          <w:highlight w:val="none"/>
          <w:lang w:val="zh-CN"/>
        </w:rPr>
      </w:pPr>
    </w:p>
    <w:p>
      <w:pPr>
        <w:pStyle w:val="3"/>
        <w:rPr>
          <w:rFonts w:hint="eastAsia"/>
          <w:color w:val="auto"/>
          <w:highlight w:val="none"/>
          <w:lang w:val="zh-CN"/>
        </w:rPr>
      </w:pPr>
    </w:p>
    <w:p>
      <w:pPr>
        <w:pStyle w:val="4"/>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pStyle w:val="3"/>
        <w:rPr>
          <w:rFonts w:hint="eastAsia"/>
          <w:color w:val="auto"/>
          <w:highlight w:val="none"/>
          <w:lang w:val="zh-CN"/>
        </w:rPr>
      </w:pPr>
    </w:p>
    <w:p>
      <w:pPr>
        <w:pStyle w:val="4"/>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pStyle w:val="3"/>
        <w:rPr>
          <w:rFonts w:hint="eastAsia"/>
          <w:color w:val="auto"/>
          <w:highlight w:val="none"/>
          <w:lang w:val="zh-CN"/>
        </w:rPr>
      </w:pPr>
    </w:p>
    <w:p>
      <w:pPr>
        <w:pStyle w:val="4"/>
        <w:rPr>
          <w:rFonts w:hint="eastAsia"/>
          <w:color w:val="auto"/>
          <w:highlight w:val="none"/>
          <w:lang w:val="zh-CN"/>
        </w:rPr>
      </w:pPr>
    </w:p>
    <w:p>
      <w:pPr>
        <w:jc w:val="both"/>
        <w:rPr>
          <w:rFonts w:hint="eastAsia"/>
          <w:color w:val="auto"/>
          <w:sz w:val="32"/>
          <w:szCs w:val="32"/>
          <w:highlight w:val="none"/>
          <w:lang w:val="zh-CN"/>
        </w:rPr>
      </w:pPr>
    </w:p>
    <w:p>
      <w:pPr>
        <w:pStyle w:val="2"/>
        <w:rPr>
          <w:rFonts w:hint="eastAsia"/>
          <w:color w:val="auto"/>
          <w:sz w:val="32"/>
          <w:szCs w:val="32"/>
          <w:highlight w:val="none"/>
          <w:lang w:val="zh-CN"/>
        </w:rPr>
      </w:pPr>
    </w:p>
    <w:p>
      <w:pPr>
        <w:pStyle w:val="3"/>
        <w:rPr>
          <w:rFonts w:hint="eastAsia"/>
          <w:color w:val="auto"/>
          <w:sz w:val="32"/>
          <w:szCs w:val="32"/>
          <w:highlight w:val="none"/>
          <w:lang w:val="zh-CN"/>
        </w:rPr>
      </w:pPr>
    </w:p>
    <w:p>
      <w:pPr>
        <w:pStyle w:val="4"/>
        <w:rPr>
          <w:rFonts w:hint="eastAsia"/>
          <w:color w:val="auto"/>
          <w:sz w:val="32"/>
          <w:szCs w:val="32"/>
          <w:highlight w:val="none"/>
          <w:lang w:val="zh-CN"/>
        </w:rPr>
      </w:pPr>
    </w:p>
    <w:p>
      <w:pPr>
        <w:rPr>
          <w:rFonts w:hint="eastAsia"/>
          <w:color w:val="auto"/>
          <w:sz w:val="32"/>
          <w:szCs w:val="32"/>
          <w:highlight w:val="none"/>
          <w:lang w:val="zh-CN"/>
        </w:rPr>
      </w:pPr>
    </w:p>
    <w:p>
      <w:pPr>
        <w:pStyle w:val="2"/>
        <w:rPr>
          <w:rFonts w:hint="eastAsia"/>
          <w:color w:val="auto"/>
          <w:sz w:val="32"/>
          <w:szCs w:val="32"/>
          <w:highlight w:val="none"/>
          <w:lang w:val="zh-CN"/>
        </w:rPr>
      </w:pPr>
    </w:p>
    <w:p>
      <w:pPr>
        <w:pStyle w:val="3"/>
        <w:rPr>
          <w:rFonts w:hint="eastAsia"/>
          <w:color w:val="auto"/>
          <w:sz w:val="32"/>
          <w:szCs w:val="32"/>
          <w:highlight w:val="none"/>
          <w:lang w:val="zh-CN"/>
        </w:rPr>
      </w:pPr>
    </w:p>
    <w:p>
      <w:pPr>
        <w:pStyle w:val="4"/>
        <w:rPr>
          <w:rFonts w:hint="eastAsia"/>
          <w:color w:val="auto"/>
          <w:sz w:val="32"/>
          <w:szCs w:val="32"/>
          <w:highlight w:val="none"/>
          <w:lang w:val="zh-CN"/>
        </w:rPr>
      </w:pPr>
    </w:p>
    <w:p>
      <w:pPr>
        <w:rPr>
          <w:rFonts w:hint="eastAsia"/>
          <w:color w:val="auto"/>
          <w:sz w:val="32"/>
          <w:szCs w:val="32"/>
          <w:highlight w:val="none"/>
          <w:lang w:val="zh-CN"/>
        </w:rPr>
      </w:pPr>
    </w:p>
    <w:p>
      <w:pPr>
        <w:pStyle w:val="2"/>
        <w:rPr>
          <w:rFonts w:hint="eastAsia"/>
          <w:color w:val="auto"/>
          <w:sz w:val="32"/>
          <w:szCs w:val="32"/>
          <w:highlight w:val="none"/>
          <w:lang w:val="zh-CN"/>
        </w:rPr>
      </w:pPr>
    </w:p>
    <w:p>
      <w:pPr>
        <w:pStyle w:val="3"/>
        <w:rPr>
          <w:rFonts w:hint="eastAsia"/>
          <w:color w:val="auto"/>
          <w:sz w:val="32"/>
          <w:szCs w:val="32"/>
          <w:highlight w:val="none"/>
          <w:lang w:val="zh-CN"/>
        </w:rPr>
      </w:pPr>
    </w:p>
    <w:p>
      <w:pPr>
        <w:pStyle w:val="4"/>
        <w:rPr>
          <w:rFonts w:hint="eastAsia"/>
          <w:color w:val="auto"/>
          <w:sz w:val="32"/>
          <w:szCs w:val="32"/>
          <w:highlight w:val="none"/>
          <w:lang w:val="zh-CN"/>
        </w:rPr>
      </w:pPr>
    </w:p>
    <w:p>
      <w:pPr>
        <w:rPr>
          <w:rFonts w:hint="eastAsia"/>
          <w:color w:val="auto"/>
          <w:highlight w:val="none"/>
          <w:lang w:val="zh-CN"/>
        </w:rPr>
      </w:pPr>
    </w:p>
    <w:p>
      <w:pPr>
        <w:jc w:val="center"/>
        <w:rPr>
          <w:color w:val="auto"/>
          <w:sz w:val="32"/>
          <w:szCs w:val="32"/>
          <w:highlight w:val="none"/>
        </w:rPr>
      </w:pPr>
      <w:r>
        <w:rPr>
          <w:rFonts w:hint="eastAsia"/>
          <w:color w:val="auto"/>
          <w:sz w:val="32"/>
          <w:szCs w:val="32"/>
          <w:highlight w:val="none"/>
          <w:lang w:val="zh-CN"/>
        </w:rPr>
        <w:t>第四部分   政府采购政策功能相关说明</w:t>
      </w:r>
    </w:p>
    <w:p>
      <w:pPr>
        <w:rPr>
          <w:color w:val="auto"/>
          <w:sz w:val="22"/>
          <w:szCs w:val="22"/>
          <w:highlight w:val="none"/>
        </w:rPr>
      </w:pPr>
    </w:p>
    <w:p>
      <w:pPr>
        <w:rPr>
          <w:color w:val="auto"/>
          <w:sz w:val="22"/>
          <w:szCs w:val="22"/>
          <w:highlight w:val="none"/>
        </w:rPr>
      </w:pPr>
      <w:r>
        <w:rPr>
          <w:rFonts w:hint="eastAsia"/>
          <w:color w:val="auto"/>
          <w:sz w:val="22"/>
          <w:szCs w:val="22"/>
          <w:highlight w:val="none"/>
        </w:rPr>
        <w:t>一、小、微企业（含监狱企业、残疾人福利性单位）扶持政策说明</w:t>
      </w:r>
    </w:p>
    <w:p>
      <w:pPr>
        <w:spacing w:line="440" w:lineRule="atLeast"/>
        <w:rPr>
          <w:color w:val="auto"/>
          <w:sz w:val="22"/>
          <w:szCs w:val="22"/>
          <w:highlight w:val="none"/>
        </w:rPr>
      </w:pPr>
      <w:r>
        <w:rPr>
          <w:rFonts w:hint="eastAsia"/>
          <w:color w:val="auto"/>
          <w:sz w:val="22"/>
          <w:szCs w:val="22"/>
          <w:highlight w:val="none"/>
        </w:rPr>
        <w:t>1、文件依据</w:t>
      </w:r>
    </w:p>
    <w:p>
      <w:pPr>
        <w:spacing w:line="440" w:lineRule="atLeast"/>
        <w:rPr>
          <w:color w:val="auto"/>
          <w:sz w:val="22"/>
          <w:szCs w:val="22"/>
          <w:highlight w:val="none"/>
        </w:rPr>
      </w:pPr>
      <w:r>
        <w:rPr>
          <w:rFonts w:hint="eastAsia"/>
          <w:color w:val="auto"/>
          <w:sz w:val="22"/>
          <w:szCs w:val="22"/>
          <w:highlight w:val="none"/>
        </w:rPr>
        <w:t>（1）关于印发《政府采购促进中小企业发展暂行办法》的通知（财库[2011]181号）</w:t>
      </w:r>
    </w:p>
    <w:p>
      <w:pPr>
        <w:spacing w:line="440" w:lineRule="atLeast"/>
        <w:rPr>
          <w:color w:val="auto"/>
          <w:sz w:val="22"/>
          <w:szCs w:val="22"/>
          <w:highlight w:val="none"/>
        </w:rPr>
      </w:pPr>
      <w:r>
        <w:rPr>
          <w:rFonts w:hint="eastAsia"/>
          <w:color w:val="auto"/>
          <w:sz w:val="22"/>
          <w:szCs w:val="22"/>
          <w:highlight w:val="none"/>
        </w:rPr>
        <w:t>（2）浙江省财政厅转发财政部 工业和信息化部关于印发《政府采购促进中小企业发展暂行办法》的通知（浙财采监[2012]11号）</w:t>
      </w:r>
    </w:p>
    <w:p>
      <w:pPr>
        <w:spacing w:line="440" w:lineRule="atLeast"/>
        <w:rPr>
          <w:color w:val="auto"/>
          <w:sz w:val="22"/>
          <w:szCs w:val="22"/>
          <w:highlight w:val="none"/>
        </w:rPr>
      </w:pPr>
      <w:r>
        <w:rPr>
          <w:rFonts w:hint="eastAsia"/>
          <w:color w:val="auto"/>
          <w:sz w:val="22"/>
          <w:szCs w:val="22"/>
          <w:highlight w:val="none"/>
        </w:rPr>
        <w:t>（3）浙江省财政厅、浙江省经济和信息化委员会《关于简化中小企业类别确认流程有关事项的通知》(浙财采监[2018]2号)</w:t>
      </w:r>
    </w:p>
    <w:p>
      <w:pPr>
        <w:spacing w:line="440" w:lineRule="atLeast"/>
        <w:rPr>
          <w:color w:val="auto"/>
          <w:sz w:val="22"/>
          <w:szCs w:val="22"/>
          <w:highlight w:val="none"/>
        </w:rPr>
      </w:pPr>
      <w:r>
        <w:rPr>
          <w:rFonts w:hint="eastAsia"/>
          <w:color w:val="auto"/>
          <w:sz w:val="22"/>
          <w:szCs w:val="22"/>
          <w:highlight w:val="none"/>
        </w:rPr>
        <w:t>（4）浙江省省财政厅《关于开展政府采购供应商网上注册登记和诚信管理工作的通知》（浙财采监〔2010〕8号)</w:t>
      </w:r>
    </w:p>
    <w:p>
      <w:pPr>
        <w:spacing w:line="440" w:lineRule="atLeast"/>
        <w:rPr>
          <w:color w:val="auto"/>
          <w:sz w:val="22"/>
          <w:szCs w:val="22"/>
          <w:highlight w:val="none"/>
        </w:rPr>
      </w:pPr>
      <w:r>
        <w:rPr>
          <w:rFonts w:hint="eastAsia"/>
          <w:color w:val="auto"/>
          <w:sz w:val="22"/>
          <w:szCs w:val="22"/>
          <w:highlight w:val="none"/>
        </w:rPr>
        <w:t>（5）《工业和信息化部、国家统计局、国家发展和改革委员会、财政部关于印发中小企业划型标准规定的通知》（</w:t>
      </w:r>
      <w:r>
        <w:rPr>
          <w:color w:val="auto"/>
          <w:sz w:val="22"/>
          <w:szCs w:val="22"/>
          <w:highlight w:val="none"/>
        </w:rPr>
        <w:t>工信部联企业[2011]300号</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（6）财政部、司法部《关于政府采购支持监狱企业发展有关问题的通知》（财库〔2014〕68号）</w:t>
      </w:r>
    </w:p>
    <w:p>
      <w:pPr>
        <w:spacing w:line="440" w:lineRule="atLeast"/>
        <w:rPr>
          <w:rFonts w:hint="eastAsia"/>
          <w:color w:val="auto"/>
          <w:sz w:val="22"/>
          <w:szCs w:val="22"/>
          <w:highlight w:val="none"/>
        </w:rPr>
      </w:pPr>
      <w:r>
        <w:rPr>
          <w:rFonts w:hint="eastAsia"/>
          <w:color w:val="auto"/>
          <w:sz w:val="22"/>
          <w:szCs w:val="22"/>
          <w:highlight w:val="none"/>
        </w:rPr>
        <w:t>（7）《财政部 民政部 中国残疾人联合会关于促进残疾人就业政府采购政策的通知》（财库〔2017〕 141号）</w:t>
      </w:r>
    </w:p>
    <w:p>
      <w:pPr>
        <w:spacing w:line="440" w:lineRule="atLeast"/>
        <w:rPr>
          <w:color w:val="auto"/>
          <w:sz w:val="22"/>
          <w:szCs w:val="22"/>
          <w:highlight w:val="none"/>
        </w:rPr>
      </w:pPr>
      <w:r>
        <w:rPr>
          <w:rFonts w:hint="eastAsia"/>
          <w:color w:val="auto"/>
          <w:sz w:val="22"/>
          <w:szCs w:val="22"/>
          <w:highlight w:val="none"/>
        </w:rPr>
        <w:t>2、享受小微企业价格折扣应具备的条件与价格折扣比例</w:t>
      </w:r>
    </w:p>
    <w:p>
      <w:pPr>
        <w:spacing w:line="440" w:lineRule="atLeast"/>
        <w:rPr>
          <w:color w:val="auto"/>
          <w:sz w:val="22"/>
          <w:szCs w:val="22"/>
          <w:highlight w:val="none"/>
        </w:rPr>
      </w:pPr>
      <w:r>
        <w:rPr>
          <w:rFonts w:hint="eastAsia"/>
          <w:color w:val="auto"/>
          <w:sz w:val="22"/>
          <w:szCs w:val="22"/>
          <w:highlight w:val="none"/>
        </w:rPr>
        <w:t>（1）符合中小企业划分标准；</w:t>
      </w:r>
      <w:r>
        <w:rPr>
          <w:rFonts w:hint="eastAsia"/>
          <w:color w:val="auto"/>
          <w:sz w:val="22"/>
          <w:szCs w:val="22"/>
          <w:highlight w:val="none"/>
        </w:rPr>
        <w:br w:type="textWrapping"/>
      </w:r>
      <w:r>
        <w:rPr>
          <w:rFonts w:hint="eastAsia"/>
          <w:color w:val="auto"/>
          <w:sz w:val="22"/>
          <w:szCs w:val="22"/>
          <w:highlight w:val="none"/>
        </w:rPr>
        <w:t>（2）提供本企业制造的货物、承担的工程或者服务，或者提供其他中小企业制造的货物。本项所称货物不包括使用大型企业注册商标的货物。</w:t>
      </w:r>
      <w:r>
        <w:rPr>
          <w:rFonts w:hint="eastAsia"/>
          <w:color w:val="auto"/>
          <w:sz w:val="22"/>
          <w:szCs w:val="22"/>
          <w:highlight w:val="none"/>
        </w:rPr>
        <w:br w:type="textWrapping"/>
      </w:r>
      <w:r>
        <w:rPr>
          <w:rFonts w:hint="eastAsia"/>
          <w:color w:val="auto"/>
          <w:sz w:val="22"/>
          <w:szCs w:val="22"/>
          <w:highlight w:val="none"/>
        </w:rPr>
        <w:t>  中小企业划分标准，是指国务院有关部门根据企业从业人员、营业收入、资产总额等指标制定的中小企业划型标准。</w:t>
      </w:r>
      <w:r>
        <w:rPr>
          <w:rFonts w:hint="eastAsia"/>
          <w:color w:val="auto"/>
          <w:sz w:val="22"/>
          <w:szCs w:val="22"/>
          <w:highlight w:val="none"/>
        </w:rPr>
        <w:br w:type="textWrapping"/>
      </w:r>
      <w:r>
        <w:rPr>
          <w:rFonts w:hint="eastAsia"/>
          <w:color w:val="auto"/>
          <w:sz w:val="22"/>
          <w:szCs w:val="22"/>
          <w:highlight w:val="none"/>
        </w:rPr>
        <w:t> </w:t>
      </w:r>
      <w:r>
        <w:rPr>
          <w:rFonts w:hint="eastAsia"/>
          <w:color w:val="auto"/>
          <w:sz w:val="22"/>
          <w:szCs w:val="22"/>
          <w:highlight w:val="none"/>
          <w:lang w:val="en-US" w:eastAsia="zh-CN"/>
        </w:rPr>
        <w:t xml:space="preserve"> </w:t>
      </w:r>
      <w:r>
        <w:rPr>
          <w:rFonts w:hint="eastAsia"/>
          <w:color w:val="auto"/>
          <w:sz w:val="22"/>
          <w:szCs w:val="22"/>
          <w:highlight w:val="none"/>
        </w:rPr>
        <w:t>小型、微型企业提供中型企业制造的货物的，视同为中型企业。</w:t>
      </w:r>
    </w:p>
    <w:p>
      <w:pPr>
        <w:spacing w:line="440" w:lineRule="atLeast"/>
        <w:rPr>
          <w:color w:val="auto"/>
          <w:sz w:val="22"/>
          <w:szCs w:val="22"/>
          <w:highlight w:val="none"/>
          <w:u w:val="single"/>
        </w:rPr>
      </w:pPr>
      <w:r>
        <w:rPr>
          <w:rFonts w:hint="eastAsia"/>
          <w:color w:val="auto"/>
          <w:sz w:val="22"/>
          <w:szCs w:val="22"/>
          <w:highlight w:val="none"/>
          <w:u w:val="single"/>
        </w:rPr>
        <w:t>（3）本项目对小型和微型企业产品的价格给予6%的扣除，用扣除后的价格参与评审。</w:t>
      </w:r>
    </w:p>
    <w:p>
      <w:pPr>
        <w:spacing w:line="440" w:lineRule="atLeast"/>
        <w:rPr>
          <w:color w:val="auto"/>
          <w:sz w:val="22"/>
          <w:szCs w:val="22"/>
          <w:highlight w:val="none"/>
        </w:rPr>
      </w:pPr>
      <w:r>
        <w:rPr>
          <w:rFonts w:hint="eastAsia"/>
          <w:color w:val="auto"/>
          <w:sz w:val="22"/>
          <w:szCs w:val="22"/>
          <w:highlight w:val="none"/>
          <w:u w:val="single"/>
        </w:rPr>
        <w:t>3、享受小微企业价格折扣应提供以下证明材料</w:t>
      </w:r>
      <w:r>
        <w:rPr>
          <w:rFonts w:hint="eastAsia"/>
          <w:color w:val="auto"/>
          <w:sz w:val="22"/>
          <w:szCs w:val="22"/>
          <w:highlight w:val="none"/>
        </w:rPr>
        <w:t>：</w:t>
      </w:r>
    </w:p>
    <w:p>
      <w:pPr>
        <w:spacing w:line="440" w:lineRule="atLeast"/>
        <w:rPr>
          <w:b/>
          <w:color w:val="auto"/>
          <w:sz w:val="22"/>
          <w:szCs w:val="22"/>
          <w:highlight w:val="none"/>
        </w:rPr>
      </w:pPr>
      <w:r>
        <w:rPr>
          <w:rFonts w:hint="eastAsia"/>
          <w:b/>
          <w:color w:val="auto"/>
          <w:sz w:val="22"/>
          <w:szCs w:val="22"/>
          <w:highlight w:val="none"/>
        </w:rPr>
        <w:t>（1）通过浙江政府采购网申请注册加入政府采购供应商库（不包括公示期内，提供浙江省政府采购网页面截图或其它入库证明材料，加盖供应商公章）</w:t>
      </w:r>
    </w:p>
    <w:p>
      <w:pPr>
        <w:spacing w:line="440" w:lineRule="atLeast"/>
        <w:rPr>
          <w:b/>
          <w:color w:val="auto"/>
          <w:sz w:val="22"/>
          <w:szCs w:val="22"/>
          <w:highlight w:val="none"/>
        </w:rPr>
      </w:pPr>
      <w:r>
        <w:rPr>
          <w:rFonts w:hint="eastAsia"/>
          <w:b/>
          <w:color w:val="auto"/>
          <w:sz w:val="22"/>
          <w:szCs w:val="22"/>
          <w:highlight w:val="none"/>
        </w:rPr>
        <w:t>（2）《中小企业声明函》（原件，加盖供应商公章，格式见附件）</w:t>
      </w:r>
    </w:p>
    <w:p>
      <w:pPr>
        <w:spacing w:line="440" w:lineRule="atLeast"/>
        <w:rPr>
          <w:rFonts w:hint="eastAsia"/>
          <w:color w:val="auto"/>
          <w:sz w:val="22"/>
          <w:szCs w:val="22"/>
          <w:highlight w:val="none"/>
        </w:rPr>
      </w:pPr>
      <w:r>
        <w:rPr>
          <w:rFonts w:hint="eastAsia"/>
          <w:color w:val="auto"/>
          <w:sz w:val="22"/>
          <w:szCs w:val="22"/>
          <w:highlight w:val="none"/>
        </w:rPr>
        <w:t>4、</w:t>
      </w:r>
      <w:r>
        <w:rPr>
          <w:rFonts w:hint="eastAsia"/>
          <w:color w:val="auto"/>
          <w:sz w:val="22"/>
          <w:szCs w:val="22"/>
          <w:highlight w:val="none"/>
          <w:u w:val="single"/>
        </w:rPr>
        <w:t>享受监狱企业价格折扣应提供以下证明材料（投标文件报价文件标中，不提供的不享受价格折扣）</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w:t>
      </w:r>
      <w:r>
        <w:rPr>
          <w:color w:val="auto"/>
          <w:sz w:val="22"/>
          <w:szCs w:val="22"/>
          <w:highlight w:val="none"/>
        </w:rPr>
        <w:t>监狱企业参加政府采购活动时，应当提供由省级以上监狱管理局、戒毒管理局(含新疆生产建设兵团)出具的属于监狱企业的证明文件</w:t>
      </w:r>
      <w:r>
        <w:rPr>
          <w:rFonts w:hint="eastAsia"/>
          <w:color w:val="auto"/>
          <w:sz w:val="22"/>
          <w:szCs w:val="22"/>
          <w:highlight w:val="none"/>
        </w:rPr>
        <w:t>（复印件加盖公章）</w:t>
      </w:r>
      <w:r>
        <w:rPr>
          <w:color w:val="auto"/>
          <w:sz w:val="22"/>
          <w:szCs w:val="22"/>
          <w:highlight w:val="none"/>
        </w:rPr>
        <w:t>。在政府采购活动中，监狱企业视同小型、微型企业，享受评审中价格扣除政策</w:t>
      </w:r>
      <w:r>
        <w:rPr>
          <w:rFonts w:hint="eastAsia"/>
          <w:color w:val="auto"/>
          <w:sz w:val="22"/>
          <w:szCs w:val="22"/>
          <w:highlight w:val="none"/>
        </w:rPr>
        <w:t>。</w:t>
      </w:r>
    </w:p>
    <w:p>
      <w:pPr>
        <w:spacing w:line="440" w:lineRule="atLeast"/>
        <w:rPr>
          <w:rFonts w:hint="eastAsia"/>
          <w:color w:val="auto"/>
          <w:sz w:val="22"/>
          <w:szCs w:val="22"/>
          <w:highlight w:val="none"/>
        </w:rPr>
      </w:pPr>
      <w:r>
        <w:rPr>
          <w:color w:val="auto"/>
          <w:sz w:val="22"/>
          <w:szCs w:val="22"/>
          <w:highlight w:val="none"/>
        </w:rPr>
        <w:t>5</w:t>
      </w:r>
      <w:r>
        <w:rPr>
          <w:rFonts w:hint="eastAsia"/>
          <w:color w:val="auto"/>
          <w:sz w:val="22"/>
          <w:szCs w:val="22"/>
          <w:highlight w:val="none"/>
        </w:rPr>
        <w:t>、</w:t>
      </w:r>
      <w:r>
        <w:rPr>
          <w:rFonts w:hint="eastAsia"/>
          <w:color w:val="auto"/>
          <w:sz w:val="22"/>
          <w:szCs w:val="22"/>
          <w:highlight w:val="none"/>
          <w:u w:val="single"/>
        </w:rPr>
        <w:t>享受残疾人福利性单位格折扣应提供以下证明材料（投标文件报价文件标中，不提供的不享受价格折扣）</w:t>
      </w:r>
      <w:r>
        <w:rPr>
          <w:rFonts w:hint="eastAsia"/>
          <w:color w:val="auto"/>
          <w:sz w:val="22"/>
          <w:szCs w:val="22"/>
          <w:highlight w:val="none"/>
        </w:rPr>
        <w:t>：</w:t>
      </w:r>
    </w:p>
    <w:p>
      <w:pPr>
        <w:spacing w:line="440" w:lineRule="atLeast"/>
        <w:rPr>
          <w:rFonts w:hint="eastAsia"/>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）残疾人福利性单位声明函；</w:t>
      </w:r>
    </w:p>
    <w:p>
      <w:pPr>
        <w:spacing w:line="440" w:lineRule="atLeast"/>
        <w:rPr>
          <w:color w:val="auto"/>
          <w:sz w:val="22"/>
          <w:szCs w:val="22"/>
          <w:highlight w:val="none"/>
        </w:rPr>
      </w:pPr>
      <w:r>
        <w:rPr>
          <w:color w:val="auto"/>
          <w:sz w:val="22"/>
          <w:szCs w:val="22"/>
          <w:highlight w:val="none"/>
        </w:rPr>
        <w:t>6</w:t>
      </w:r>
      <w:r>
        <w:rPr>
          <w:rFonts w:hint="eastAsia"/>
          <w:color w:val="auto"/>
          <w:sz w:val="22"/>
          <w:szCs w:val="22"/>
          <w:highlight w:val="none"/>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rFonts w:hint="eastAsia"/>
          <w:color w:val="auto"/>
          <w:sz w:val="22"/>
          <w:szCs w:val="22"/>
          <w:highlight w:val="none"/>
        </w:rPr>
      </w:pPr>
    </w:p>
    <w:p>
      <w:pPr>
        <w:pStyle w:val="3"/>
        <w:ind w:firstLine="220"/>
        <w:rPr>
          <w:rFonts w:hint="eastAsia"/>
          <w:color w:val="auto"/>
          <w:sz w:val="22"/>
          <w:highlight w:val="none"/>
        </w:rPr>
      </w:pPr>
    </w:p>
    <w:p>
      <w:pPr>
        <w:pStyle w:val="4"/>
        <w:rPr>
          <w:rFonts w:hint="eastAsia"/>
          <w:color w:val="auto"/>
          <w:highlight w:val="none"/>
        </w:rPr>
      </w:pPr>
    </w:p>
    <w:p>
      <w:pPr>
        <w:spacing w:line="440" w:lineRule="atLeast"/>
        <w:jc w:val="center"/>
        <w:rPr>
          <w:b/>
          <w:bCs/>
          <w:color w:val="auto"/>
          <w:sz w:val="32"/>
          <w:szCs w:val="32"/>
          <w:highlight w:val="none"/>
        </w:rPr>
      </w:pPr>
      <w:r>
        <w:rPr>
          <w:rFonts w:hint="eastAsia"/>
          <w:b/>
          <w:bCs/>
          <w:color w:val="auto"/>
          <w:sz w:val="32"/>
          <w:szCs w:val="32"/>
          <w:highlight w:val="none"/>
        </w:rPr>
        <w:t>中小企业声明函</w:t>
      </w:r>
    </w:p>
    <w:p>
      <w:pPr>
        <w:spacing w:line="440" w:lineRule="atLeast"/>
        <w:ind w:firstLine="440" w:firstLineChars="200"/>
        <w:rPr>
          <w:color w:val="auto"/>
          <w:sz w:val="22"/>
          <w:szCs w:val="22"/>
          <w:highlight w:val="none"/>
        </w:rPr>
      </w:pPr>
      <w:r>
        <w:rPr>
          <w:rFonts w:hint="eastAsia"/>
          <w:color w:val="auto"/>
          <w:sz w:val="22"/>
          <w:szCs w:val="22"/>
          <w:highlight w:val="none"/>
        </w:rPr>
        <w:t>本公司郑重声明，根据《政府采购促进中小企业发展暂行办法》（财库[2011]181号）的规定，本公司为______（请填写：中型、小型、微型）企业。即，本公司同时满足以下条件：</w:t>
      </w:r>
      <w:r>
        <w:rPr>
          <w:rFonts w:hint="eastAsia"/>
          <w:color w:val="auto"/>
          <w:sz w:val="22"/>
          <w:szCs w:val="22"/>
          <w:highlight w:val="none"/>
        </w:rPr>
        <w:br w:type="textWrapping"/>
      </w:r>
      <w:r>
        <w:rPr>
          <w:rFonts w:hint="eastAsia"/>
          <w:color w:val="auto"/>
          <w:sz w:val="22"/>
          <w:szCs w:val="22"/>
          <w:highlight w:val="none"/>
        </w:rPr>
        <w:t>  1.根据《工业和信息化部、国家统计局、国家发展和改革委员会、财政部关于印发中小企业划型标准规定的通知》（工信部联企业[2011]300号）规定的划分标准，本公司为______（请填写：中型、小型、微型）企业。</w:t>
      </w:r>
      <w:r>
        <w:rPr>
          <w:rFonts w:hint="eastAsia"/>
          <w:color w:val="auto"/>
          <w:sz w:val="22"/>
          <w:szCs w:val="22"/>
          <w:highlight w:val="none"/>
        </w:rPr>
        <w:br w:type="textWrapping"/>
      </w:r>
      <w:r>
        <w:rPr>
          <w:rFonts w:hint="eastAsia"/>
          <w:color w:val="auto"/>
          <w:sz w:val="22"/>
          <w:szCs w:val="22"/>
          <w:highlight w:val="none"/>
        </w:rPr>
        <w:t>  2.本公司参加______（采购人）的______（项目名称）______（标项名称）采购活动</w:t>
      </w:r>
      <w:r>
        <w:rPr>
          <w:rFonts w:hint="eastAsia"/>
          <w:color w:val="auto"/>
          <w:sz w:val="22"/>
          <w:szCs w:val="22"/>
          <w:highlight w:val="none"/>
          <w:lang w:eastAsia="zh-CN"/>
        </w:rPr>
        <w:t>，</w:t>
      </w:r>
      <w:r>
        <w:rPr>
          <w:rFonts w:hint="eastAsia"/>
          <w:color w:val="auto"/>
          <w:sz w:val="22"/>
          <w:szCs w:val="22"/>
          <w:highlight w:val="none"/>
        </w:rPr>
        <w:t>提供本企业制造的货物、承担的工程或者服务，或者提供其他______（请填写：中型、小型、微型）企业制造的货物（制造商的中小企业声明函另附）。本条所称货物不包括使用大型企业注册商标的货物。</w:t>
      </w:r>
      <w:r>
        <w:rPr>
          <w:rFonts w:hint="eastAsia"/>
          <w:color w:val="auto"/>
          <w:sz w:val="22"/>
          <w:szCs w:val="22"/>
          <w:highlight w:val="none"/>
        </w:rPr>
        <w:br w:type="textWrapping"/>
      </w:r>
      <w:r>
        <w:rPr>
          <w:rFonts w:hint="eastAsia"/>
          <w:color w:val="auto"/>
          <w:sz w:val="22"/>
          <w:szCs w:val="22"/>
          <w:highlight w:val="none"/>
        </w:rPr>
        <w:t>    本公司对上述声明的真实性负责。如有虚假，将依法承担相应责任。</w:t>
      </w:r>
    </w:p>
    <w:p>
      <w:pPr>
        <w:spacing w:line="440" w:lineRule="atLeast"/>
        <w:rPr>
          <w:color w:val="auto"/>
          <w:sz w:val="22"/>
          <w:szCs w:val="22"/>
          <w:highlight w:val="none"/>
        </w:rPr>
      </w:pPr>
    </w:p>
    <w:p>
      <w:pPr>
        <w:spacing w:line="440" w:lineRule="atLeast"/>
        <w:rPr>
          <w:color w:val="auto"/>
          <w:sz w:val="22"/>
          <w:szCs w:val="22"/>
          <w:highlight w:val="none"/>
        </w:rPr>
      </w:pPr>
      <w:r>
        <w:rPr>
          <w:rFonts w:hint="eastAsia"/>
          <w:color w:val="auto"/>
          <w:sz w:val="22"/>
          <w:szCs w:val="22"/>
          <w:highlight w:val="none"/>
        </w:rPr>
        <w:t>投标供应商名称（盖章）：                </w:t>
      </w:r>
      <w:r>
        <w:rPr>
          <w:rFonts w:hint="eastAsia"/>
          <w:color w:val="auto"/>
          <w:sz w:val="22"/>
          <w:szCs w:val="22"/>
          <w:highlight w:val="none"/>
        </w:rPr>
        <w:br w:type="textWrapping"/>
      </w:r>
      <w:r>
        <w:rPr>
          <w:rFonts w:hint="eastAsia"/>
          <w:color w:val="auto"/>
          <w:sz w:val="22"/>
          <w:szCs w:val="22"/>
          <w:highlight w:val="none"/>
        </w:rPr>
        <w:t>日期：                             　　　　　</w:t>
      </w:r>
    </w:p>
    <w:p>
      <w:pPr>
        <w:spacing w:line="588" w:lineRule="exact"/>
        <w:jc w:val="center"/>
        <w:rPr>
          <w:rFonts w:hint="eastAsia"/>
          <w:color w:val="auto"/>
          <w:spacing w:val="6"/>
          <w:sz w:val="22"/>
          <w:szCs w:val="22"/>
          <w:highlight w:val="none"/>
        </w:rPr>
      </w:pPr>
      <w:bookmarkStart w:id="14" w:name="OLE_LINK13"/>
      <w:bookmarkStart w:id="15" w:name="OLE_LINK14"/>
    </w:p>
    <w:p>
      <w:pPr>
        <w:spacing w:line="588" w:lineRule="exact"/>
        <w:jc w:val="center"/>
        <w:rPr>
          <w:rFonts w:hint="eastAsia"/>
          <w:color w:val="auto"/>
          <w:spacing w:val="6"/>
          <w:sz w:val="22"/>
          <w:szCs w:val="22"/>
          <w:highlight w:val="none"/>
        </w:rPr>
      </w:pPr>
    </w:p>
    <w:p>
      <w:pPr>
        <w:spacing w:line="588" w:lineRule="exact"/>
        <w:jc w:val="both"/>
        <w:rPr>
          <w:rFonts w:hint="eastAsia"/>
          <w:color w:val="auto"/>
          <w:spacing w:val="6"/>
          <w:sz w:val="22"/>
          <w:szCs w:val="22"/>
          <w:highlight w:val="none"/>
        </w:rPr>
      </w:pPr>
    </w:p>
    <w:p>
      <w:pPr>
        <w:spacing w:line="588" w:lineRule="exact"/>
        <w:jc w:val="center"/>
        <w:rPr>
          <w:b/>
          <w:bCs/>
          <w:color w:val="auto"/>
          <w:spacing w:val="6"/>
          <w:sz w:val="32"/>
          <w:szCs w:val="32"/>
          <w:highlight w:val="none"/>
        </w:rPr>
      </w:pPr>
      <w:r>
        <w:rPr>
          <w:rFonts w:hint="eastAsia"/>
          <w:b/>
          <w:bCs/>
          <w:color w:val="auto"/>
          <w:spacing w:val="6"/>
          <w:sz w:val="32"/>
          <w:szCs w:val="32"/>
          <w:highlight w:val="none"/>
        </w:rPr>
        <w:t>残疾人福利性单位声明函</w:t>
      </w:r>
      <w:bookmarkEnd w:id="14"/>
      <w:bookmarkEnd w:id="15"/>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本单位郑重声明，根据《财政部 民政部 中国残疾人联合会关于促进残疾人就业政府采购政策的通知》（财库</w:t>
      </w:r>
      <w:r>
        <w:rPr>
          <w:rFonts w:hint="eastAsia"/>
          <w:color w:val="auto"/>
          <w:sz w:val="22"/>
          <w:szCs w:val="22"/>
          <w:highlight w:val="none"/>
        </w:rPr>
        <w:t>〔2017〕 141</w:t>
      </w:r>
      <w:r>
        <w:rPr>
          <w:rFonts w:hint="eastAsia"/>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本单位对上述声明的真实性负责。如有虚假，将依法承担相应责任。</w:t>
      </w:r>
    </w:p>
    <w:p>
      <w:pPr>
        <w:spacing w:line="588" w:lineRule="exact"/>
        <w:ind w:firstLine="464" w:firstLineChars="200"/>
        <w:rPr>
          <w:color w:val="auto"/>
          <w:spacing w:val="6"/>
          <w:sz w:val="22"/>
          <w:szCs w:val="22"/>
          <w:highlight w:val="none"/>
        </w:rPr>
      </w:pPr>
    </w:p>
    <w:p>
      <w:pPr>
        <w:spacing w:line="588" w:lineRule="exact"/>
        <w:ind w:firstLine="464" w:firstLineChars="200"/>
        <w:rPr>
          <w:color w:val="auto"/>
          <w:spacing w:val="6"/>
          <w:sz w:val="22"/>
          <w:szCs w:val="22"/>
          <w:highlight w:val="none"/>
        </w:rPr>
      </w:pP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单位名称（盖章）：</w:t>
      </w: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日  期：</w:t>
      </w:r>
    </w:p>
    <w:p>
      <w:pPr>
        <w:tabs>
          <w:tab w:val="left" w:pos="4860"/>
        </w:tabs>
        <w:spacing w:line="588" w:lineRule="exact"/>
        <w:ind w:right="1560"/>
        <w:rPr>
          <w:color w:val="auto"/>
          <w:sz w:val="22"/>
          <w:szCs w:val="22"/>
          <w:highlight w:val="none"/>
        </w:rPr>
      </w:pPr>
      <w:r>
        <w:rPr>
          <w:rFonts w:hint="eastAsia"/>
          <w:color w:val="auto"/>
          <w:sz w:val="22"/>
          <w:szCs w:val="22"/>
          <w:highlight w:val="none"/>
        </w:rPr>
        <w:t>备注说明：</w:t>
      </w:r>
    </w:p>
    <w:p>
      <w:pPr>
        <w:spacing w:line="588" w:lineRule="exact"/>
        <w:ind w:firstLine="464" w:firstLineChars="200"/>
        <w:rPr>
          <w:rFonts w:hint="eastAsia"/>
          <w:color w:val="auto"/>
          <w:spacing w:val="6"/>
          <w:sz w:val="22"/>
          <w:szCs w:val="22"/>
          <w:highlight w:val="none"/>
        </w:rPr>
      </w:pPr>
      <w:r>
        <w:rPr>
          <w:rFonts w:hint="eastAsia"/>
          <w:color w:val="auto"/>
          <w:spacing w:val="6"/>
          <w:sz w:val="22"/>
          <w:szCs w:val="22"/>
          <w:highlight w:val="none"/>
        </w:rPr>
        <w:t>1、如中标，将在中标公示中将此残疾人福利性单位声明函予以公示，接受社会监督；</w:t>
      </w:r>
    </w:p>
    <w:p>
      <w:pPr>
        <w:spacing w:line="588" w:lineRule="exact"/>
        <w:ind w:firstLine="464" w:firstLineChars="200"/>
        <w:rPr>
          <w:rFonts w:hint="eastAsia"/>
          <w:color w:val="auto"/>
          <w:spacing w:val="6"/>
          <w:sz w:val="22"/>
          <w:szCs w:val="22"/>
          <w:highlight w:val="none"/>
        </w:rPr>
      </w:pPr>
      <w:r>
        <w:rPr>
          <w:rFonts w:hint="eastAsia"/>
          <w:color w:val="auto"/>
          <w:spacing w:val="6"/>
          <w:sz w:val="22"/>
          <w:szCs w:val="22"/>
          <w:highlight w:val="none"/>
        </w:rPr>
        <w:t>2、供应商提供的《残疾人福利性单位声明函》与事实不符的，依照《政府采购法》第七十七条第一款的规定追究法律责任。</w:t>
      </w:r>
    </w:p>
    <w:p>
      <w:pPr>
        <w:tabs>
          <w:tab w:val="left" w:pos="4860"/>
        </w:tabs>
        <w:spacing w:line="588" w:lineRule="exact"/>
        <w:ind w:right="1560"/>
        <w:rPr>
          <w:color w:val="auto"/>
          <w:sz w:val="22"/>
          <w:szCs w:val="22"/>
          <w:highlight w:val="none"/>
        </w:rPr>
      </w:pPr>
    </w:p>
    <w:p>
      <w:pPr>
        <w:tabs>
          <w:tab w:val="left" w:pos="4860"/>
        </w:tabs>
        <w:spacing w:line="588" w:lineRule="exact"/>
        <w:ind w:right="1560"/>
        <w:rPr>
          <w:color w:val="auto"/>
          <w:sz w:val="22"/>
          <w:szCs w:val="22"/>
          <w:highlight w:val="none"/>
        </w:rPr>
      </w:pPr>
      <w:r>
        <w:rPr>
          <w:rFonts w:hint="eastAsia"/>
          <w:color w:val="auto"/>
          <w:sz w:val="22"/>
          <w:szCs w:val="22"/>
          <w:highlight w:val="none"/>
        </w:rPr>
        <w:t>二、节能、环保产品优先（强制）采购政策说明</w:t>
      </w:r>
    </w:p>
    <w:p>
      <w:pPr>
        <w:ind w:firstLine="464" w:firstLineChars="200"/>
        <w:rPr>
          <w:rFonts w:hint="eastAsia"/>
          <w:color w:val="auto"/>
          <w:spacing w:val="6"/>
          <w:sz w:val="22"/>
          <w:szCs w:val="22"/>
          <w:highlight w:val="none"/>
        </w:rPr>
      </w:pPr>
      <w:r>
        <w:rPr>
          <w:rFonts w:hint="eastAsia"/>
          <w:color w:val="auto"/>
          <w:spacing w:val="6"/>
          <w:sz w:val="22"/>
          <w:szCs w:val="22"/>
          <w:highlight w:val="none"/>
        </w:rPr>
        <w:t>1、政策依据</w:t>
      </w:r>
    </w:p>
    <w:p>
      <w:pPr>
        <w:ind w:firstLine="464" w:firstLineChars="200"/>
        <w:rPr>
          <w:rFonts w:hint="eastAsia"/>
          <w:color w:val="auto"/>
          <w:spacing w:val="6"/>
          <w:sz w:val="22"/>
          <w:szCs w:val="22"/>
          <w:highlight w:val="none"/>
        </w:rPr>
      </w:pPr>
      <w:r>
        <w:rPr>
          <w:rFonts w:hint="eastAsia"/>
          <w:color w:val="auto"/>
          <w:spacing w:val="6"/>
          <w:sz w:val="22"/>
          <w:szCs w:val="22"/>
          <w:highlight w:val="none"/>
        </w:rPr>
        <w:t>（一）《国务院办公厅关于建立政府强制采购节能产品制度的通知》(国办发[2007]51号)</w:t>
      </w:r>
    </w:p>
    <w:p>
      <w:pPr>
        <w:ind w:firstLine="464" w:firstLineChars="200"/>
        <w:rPr>
          <w:rFonts w:hint="eastAsia"/>
          <w:color w:val="auto"/>
          <w:spacing w:val="6"/>
          <w:sz w:val="22"/>
          <w:szCs w:val="22"/>
          <w:highlight w:val="none"/>
        </w:rPr>
      </w:pPr>
      <w:r>
        <w:rPr>
          <w:rFonts w:hint="eastAsia"/>
          <w:color w:val="auto"/>
          <w:spacing w:val="6"/>
          <w:sz w:val="22"/>
          <w:szCs w:val="22"/>
          <w:highlight w:val="none"/>
        </w:rPr>
        <w:t>（二）财政部、发展改革委发布的《节能产品政府采购实施意见》(财库[2004]185号)</w:t>
      </w:r>
    </w:p>
    <w:p>
      <w:pPr>
        <w:ind w:firstLine="464" w:firstLineChars="200"/>
        <w:rPr>
          <w:rFonts w:hint="eastAsia"/>
          <w:color w:val="auto"/>
          <w:spacing w:val="6"/>
          <w:sz w:val="22"/>
          <w:szCs w:val="22"/>
          <w:highlight w:val="none"/>
        </w:rPr>
      </w:pPr>
      <w:r>
        <w:rPr>
          <w:rFonts w:hint="eastAsia"/>
          <w:color w:val="auto"/>
          <w:spacing w:val="6"/>
          <w:sz w:val="22"/>
          <w:szCs w:val="22"/>
          <w:highlight w:val="none"/>
        </w:rPr>
        <w:t>（三）财政部、原环保总局印发的《环境标志产品政府采购实施的意见》（财库 [2006]90号）</w:t>
      </w:r>
    </w:p>
    <w:p>
      <w:pPr>
        <w:spacing w:line="588" w:lineRule="exact"/>
        <w:ind w:firstLine="464" w:firstLineChars="200"/>
        <w:rPr>
          <w:rFonts w:hint="eastAsia"/>
          <w:color w:val="auto"/>
          <w:spacing w:val="6"/>
          <w:sz w:val="22"/>
          <w:szCs w:val="22"/>
          <w:highlight w:val="none"/>
        </w:rPr>
      </w:pPr>
      <w:r>
        <w:rPr>
          <w:rFonts w:hint="eastAsia"/>
          <w:color w:val="auto"/>
          <w:spacing w:val="6"/>
          <w:sz w:val="22"/>
          <w:szCs w:val="22"/>
          <w:highlight w:val="none"/>
        </w:rPr>
        <w:t>2、供应商投标货物属于节能、环保优先（强制）采购范围的，须提供相关证明材料。</w:t>
      </w:r>
    </w:p>
    <w:p>
      <w:pPr>
        <w:snapToGrid w:val="0"/>
        <w:spacing w:line="420" w:lineRule="exact"/>
        <w:jc w:val="center"/>
        <w:rPr>
          <w:rFonts w:hint="eastAsia"/>
          <w:color w:val="auto"/>
          <w:sz w:val="36"/>
          <w:highlight w:val="none"/>
        </w:rPr>
      </w:pPr>
    </w:p>
    <w:p>
      <w:pPr>
        <w:snapToGrid w:val="0"/>
        <w:spacing w:line="460" w:lineRule="atLeast"/>
        <w:rPr>
          <w:rFonts w:hint="eastAsia"/>
          <w:color w:val="auto"/>
          <w:sz w:val="22"/>
          <w:highlight w:val="none"/>
        </w:rPr>
      </w:pPr>
    </w:p>
    <w:p>
      <w:pPr>
        <w:snapToGrid w:val="0"/>
        <w:spacing w:line="460" w:lineRule="atLeast"/>
        <w:rPr>
          <w:rFonts w:hint="eastAsia"/>
          <w:color w:val="auto"/>
          <w:sz w:val="22"/>
          <w:highlight w:val="none"/>
        </w:rPr>
      </w:pPr>
    </w:p>
    <w:p>
      <w:pPr>
        <w:snapToGrid w:val="0"/>
        <w:spacing w:line="400" w:lineRule="exact"/>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三、信贷政策</w:t>
      </w:r>
    </w:p>
    <w:p>
      <w:pPr>
        <w:pStyle w:val="18"/>
        <w:spacing w:beforeAutospacing="0" w:afterAutospacing="0" w:line="400" w:lineRule="exact"/>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21"/>
        <w:tblW w:w="93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1"/>
        <w:gridCol w:w="4838"/>
        <w:gridCol w:w="1000"/>
        <w:gridCol w:w="1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369" w:type="dxa"/>
            <w:gridSpan w:val="4"/>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81" w:type="dxa"/>
          </w:tcPr>
          <w:p>
            <w:pPr>
              <w:pStyle w:val="29"/>
              <w:spacing w:line="240" w:lineRule="auto"/>
              <w:ind w:firstLine="0" w:firstLine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银行名称</w:t>
            </w:r>
          </w:p>
        </w:tc>
        <w:tc>
          <w:tcPr>
            <w:tcW w:w="4838" w:type="dxa"/>
          </w:tcPr>
          <w:p>
            <w:pPr>
              <w:pStyle w:val="29"/>
              <w:spacing w:line="240" w:lineRule="auto"/>
              <w:ind w:firstLine="0" w:firstLine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产品特点</w:t>
            </w:r>
          </w:p>
        </w:tc>
        <w:tc>
          <w:tcPr>
            <w:tcW w:w="1000" w:type="dxa"/>
          </w:tcPr>
          <w:p>
            <w:pPr>
              <w:pStyle w:val="29"/>
              <w:spacing w:line="240" w:lineRule="auto"/>
              <w:ind w:firstLine="0" w:firstLine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经办人</w:t>
            </w:r>
          </w:p>
        </w:tc>
        <w:tc>
          <w:tcPr>
            <w:tcW w:w="1450" w:type="dxa"/>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中国建设银行股份有限公司平阳支行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张经理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中国工商银行股份有限公司平阳支行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郑经理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平阳农商银行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黄经理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151687202970577-63670620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中国农业银行股份有限公司平阳县支行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政采e贷-流水贷：以供应商政采云流水核定贷款额度，可信用、保证、抵押，额度最高可达1000万元，线上审批、随借随还、按日计息、循环使用、手续简便。</w:t>
            </w:r>
          </w:p>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林经理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宁波银行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1、准入要求低：供应商凭政府中标通知书和历史履约记录即可来我行融资；</w:t>
            </w:r>
          </w:p>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2、担保要求低：授信担保方式为信用，无需其他抵押、质押。</w:t>
            </w:r>
          </w:p>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3、融资金额高：单笔融资金额可达中标金额的70%，单户企业采购融资总额可至2000万元。</w:t>
            </w:r>
          </w:p>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4、覆盖范围广：支持的采购融资包括采购范围包括商品、服务和小型工程，包括信息技术服务及小型园林/道路绿化项目等。</w:t>
            </w:r>
          </w:p>
        </w:tc>
        <w:tc>
          <w:tcPr>
            <w:tcW w:w="1000" w:type="dxa"/>
            <w:vAlign w:val="center"/>
          </w:tcPr>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卢经理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15757115622</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浙商银行温州平阳支行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杨经理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中国邮政储蓄银行股份有限公司平阳县支行</w:t>
            </w:r>
          </w:p>
        </w:tc>
        <w:tc>
          <w:tcPr>
            <w:tcW w:w="4838"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000"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钟经理</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周经理</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张经理</w:t>
            </w:r>
          </w:p>
        </w:tc>
        <w:tc>
          <w:tcPr>
            <w:tcW w:w="1450" w:type="dxa"/>
            <w:vAlign w:val="center"/>
          </w:tcPr>
          <w:p>
            <w:pPr>
              <w:spacing w:line="240" w:lineRule="auto"/>
              <w:jc w:val="both"/>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13958936978</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13600673553</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13676535697</w:t>
            </w:r>
          </w:p>
          <w:p>
            <w:pPr>
              <w:spacing w:line="240" w:lineRule="auto"/>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温州银行股份有限公司平阳支行</w:t>
            </w:r>
          </w:p>
        </w:tc>
        <w:tc>
          <w:tcPr>
            <w:tcW w:w="4838"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门槛低，无需抵押，凭中标通知书即可申请，额度高，最高可贷500万元，单笔业务可贷中标金额的80%，最长期限可贷1年</w:t>
            </w:r>
          </w:p>
        </w:tc>
        <w:tc>
          <w:tcPr>
            <w:tcW w:w="1000" w:type="dxa"/>
            <w:vAlign w:val="center"/>
          </w:tcPr>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朱经理</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陈经理</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钟经理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1370663867015868005988</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13868571615</w:t>
            </w:r>
          </w:p>
        </w:tc>
      </w:tr>
    </w:tbl>
    <w:p>
      <w:pPr>
        <w:spacing w:line="400" w:lineRule="exact"/>
        <w:jc w:val="both"/>
        <w:rPr>
          <w:rFonts w:hint="eastAsia" w:ascii="宋体" w:hAnsi="宋体" w:eastAsia="宋体" w:cs="宋体"/>
          <w:color w:val="auto"/>
          <w:sz w:val="22"/>
          <w:szCs w:val="22"/>
          <w:highlight w:val="none"/>
        </w:rPr>
      </w:pPr>
    </w:p>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平阳县政府采购信用融资意向银行选择表</w:t>
      </w:r>
    </w:p>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（平阳县供应商填写）</w:t>
      </w:r>
    </w:p>
    <w:tbl>
      <w:tblPr>
        <w:tblStyle w:val="21"/>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w:t>
            </w:r>
          </w:p>
        </w:tc>
        <w:tc>
          <w:tcPr>
            <w:tcW w:w="7229" w:type="dxa"/>
            <w:gridSpan w:val="5"/>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企业注册地</w:t>
            </w:r>
          </w:p>
        </w:tc>
        <w:tc>
          <w:tcPr>
            <w:tcW w:w="3685"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c>
          <w:tcPr>
            <w:tcW w:w="2410"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是否有融资意向</w:t>
            </w:r>
          </w:p>
        </w:tc>
        <w:tc>
          <w:tcPr>
            <w:tcW w:w="1134" w:type="dxa"/>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融资联系人</w:t>
            </w:r>
          </w:p>
        </w:tc>
        <w:tc>
          <w:tcPr>
            <w:tcW w:w="2268" w:type="dxa"/>
          </w:tcPr>
          <w:p>
            <w:pPr>
              <w:pStyle w:val="29"/>
              <w:spacing w:line="400" w:lineRule="exact"/>
              <w:ind w:firstLine="0" w:firstLineChars="0"/>
              <w:jc w:val="both"/>
              <w:rPr>
                <w:rFonts w:hint="eastAsia" w:ascii="宋体" w:hAnsi="宋体" w:eastAsia="宋体" w:cs="宋体"/>
                <w:color w:val="auto"/>
                <w:sz w:val="22"/>
                <w:szCs w:val="22"/>
                <w:highlight w:val="none"/>
              </w:rPr>
            </w:pPr>
          </w:p>
        </w:tc>
        <w:tc>
          <w:tcPr>
            <w:tcW w:w="2268"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联系方式</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平阳县政府采购信用融资合作银行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中国建设银行股份有限公司平阳支行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中国工商银行股份有限公司平阳支行 </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平阳农商银行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中国农业银行股份有限公司平阳县支行</w:t>
            </w:r>
          </w:p>
        </w:tc>
        <w:tc>
          <w:tcPr>
            <w:tcW w:w="2693" w:type="dxa"/>
            <w:gridSpan w:val="2"/>
          </w:tcPr>
          <w:p>
            <w:pPr>
              <w:spacing w:line="400" w:lineRule="exact"/>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宁波银行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浙商银行温州平阳支行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中国邮政储蓄银行股份有限公司平阳县支行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温州银行股份有限公司平阳支行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bl>
    <w:p>
      <w:pPr>
        <w:spacing w:line="400" w:lineRule="exact"/>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注：1、本表填写对象为注册地在平阳县域内的供应商，填写完成后发送至邮箱：</w:t>
      </w:r>
      <w:r>
        <w:rPr>
          <w:rFonts w:hint="eastAsia" w:ascii="宋体" w:hAnsi="宋体" w:eastAsia="宋体" w:cs="宋体"/>
          <w:color w:val="auto"/>
          <w:sz w:val="22"/>
          <w:szCs w:val="22"/>
          <w:highlight w:val="none"/>
          <w:shd w:val="clear" w:color="auto" w:fill="FFFFFF"/>
        </w:rPr>
        <w:t>pyxzcrz@126.com。</w:t>
      </w:r>
    </w:p>
    <w:p>
      <w:pPr>
        <w:snapToGrid w:val="0"/>
        <w:spacing w:line="400" w:lineRule="exact"/>
        <w:ind w:firstLine="330" w:firstLineChars="15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2、财政部门根据企业自行选择，将本表及企业相关信息推送至相对应的融资意向银行经办人。</w:t>
      </w:r>
    </w:p>
    <w:p>
      <w:pPr>
        <w:pStyle w:val="19"/>
        <w:numPr>
          <w:ilvl w:val="0"/>
          <w:numId w:val="0"/>
        </w:num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pPr>
        <w:rPr>
          <w:rFonts w:hint="eastAsia" w:ascii="宋体" w:hAnsi="宋体" w:eastAsia="宋体" w:cs="宋体"/>
          <w:color w:val="auto"/>
          <w:sz w:val="24"/>
          <w:szCs w:val="24"/>
          <w:highlight w:val="none"/>
          <w:lang w:val="en-US" w:eastAsia="zh-CN"/>
        </w:rPr>
      </w:pPr>
    </w:p>
    <w:p>
      <w:pPr>
        <w:pStyle w:val="2"/>
        <w:rPr>
          <w:rFonts w:hint="eastAsia" w:ascii="宋体" w:hAnsi="宋体" w:eastAsia="宋体" w:cs="宋体"/>
          <w:color w:val="auto"/>
          <w:sz w:val="24"/>
          <w:szCs w:val="24"/>
          <w:highlight w:val="none"/>
          <w:lang w:val="en-US" w:eastAsia="zh-CN"/>
        </w:rPr>
      </w:pPr>
    </w:p>
    <w:p>
      <w:pPr>
        <w:pStyle w:val="3"/>
        <w:rPr>
          <w:rFonts w:hint="eastAsia" w:ascii="宋体" w:hAnsi="宋体" w:eastAsia="宋体" w:cs="宋体"/>
          <w:color w:val="auto"/>
          <w:sz w:val="24"/>
          <w:szCs w:val="24"/>
          <w:highlight w:val="none"/>
          <w:lang w:val="en-US" w:eastAsia="zh-CN"/>
        </w:rPr>
      </w:pPr>
    </w:p>
    <w:p>
      <w:pPr>
        <w:pStyle w:val="4"/>
        <w:rPr>
          <w:rFonts w:hint="eastAsia" w:ascii="宋体" w:hAnsi="宋体" w:eastAsia="宋体" w:cs="宋体"/>
          <w:color w:val="auto"/>
          <w:sz w:val="24"/>
          <w:szCs w:val="24"/>
          <w:highlight w:val="none"/>
          <w:lang w:val="en-US" w:eastAsia="zh-CN"/>
        </w:rPr>
      </w:pPr>
    </w:p>
    <w:p>
      <w:pPr>
        <w:rPr>
          <w:rFonts w:hint="eastAsia"/>
          <w:color w:val="auto"/>
          <w:highlight w:val="none"/>
        </w:rPr>
      </w:pPr>
    </w:p>
    <w:p>
      <w:pPr>
        <w:snapToGrid w:val="0"/>
        <w:spacing w:line="420" w:lineRule="exact"/>
        <w:jc w:val="center"/>
        <w:rPr>
          <w:rFonts w:hint="eastAsia" w:hAnsi="宋体" w:cs="宋体"/>
          <w:color w:val="auto"/>
          <w:sz w:val="22"/>
          <w:szCs w:val="22"/>
          <w:highlight w:val="none"/>
        </w:rPr>
      </w:pPr>
      <w:r>
        <w:rPr>
          <w:rFonts w:hint="eastAsia"/>
          <w:color w:val="auto"/>
          <w:sz w:val="36"/>
          <w:highlight w:val="none"/>
        </w:rPr>
        <w:t>第五部分     合同格式（仅供参考）</w:t>
      </w:r>
    </w:p>
    <w:p>
      <w:pPr>
        <w:pStyle w:val="10"/>
        <w:snapToGrid w:val="0"/>
        <w:spacing w:line="440" w:lineRule="exact"/>
        <w:ind w:right="480"/>
        <w:rPr>
          <w:rFonts w:hAnsi="宋体" w:cs="宋体"/>
          <w:color w:val="auto"/>
          <w:sz w:val="22"/>
          <w:szCs w:val="22"/>
          <w:highlight w:val="none"/>
        </w:rPr>
      </w:pPr>
      <w:r>
        <w:rPr>
          <w:rFonts w:hint="eastAsia" w:hAnsi="宋体" w:cs="宋体"/>
          <w:color w:val="auto"/>
          <w:sz w:val="22"/>
          <w:szCs w:val="22"/>
          <w:highlight w:val="none"/>
        </w:rPr>
        <w:t>编号：</w:t>
      </w:r>
    </w:p>
    <w:p>
      <w:pPr>
        <w:pStyle w:val="10"/>
        <w:snapToGrid w:val="0"/>
        <w:spacing w:line="480" w:lineRule="exact"/>
        <w:rPr>
          <w:rFonts w:hint="eastAsia" w:hAnsi="宋体" w:cs="宋体"/>
          <w:b/>
          <w:bCs/>
          <w:color w:val="auto"/>
          <w:sz w:val="22"/>
          <w:szCs w:val="22"/>
          <w:highlight w:val="none"/>
          <w:lang w:val="en-US" w:eastAsia="zh-CN"/>
        </w:rPr>
      </w:pPr>
      <w:r>
        <w:rPr>
          <w:rFonts w:hint="eastAsia" w:hAnsi="宋体" w:cs="宋体"/>
          <w:b/>
          <w:bCs/>
          <w:color w:val="auto"/>
          <w:sz w:val="22"/>
          <w:szCs w:val="22"/>
          <w:highlight w:val="none"/>
        </w:rPr>
        <w:t>甲方：</w:t>
      </w:r>
      <w:r>
        <w:rPr>
          <w:rFonts w:hint="eastAsia" w:hAnsi="宋体" w:cs="宋体"/>
          <w:b/>
          <w:bCs/>
          <w:color w:val="auto"/>
          <w:sz w:val="22"/>
          <w:szCs w:val="22"/>
          <w:highlight w:val="none"/>
          <w:lang w:val="en-US" w:eastAsia="zh-CN"/>
        </w:rPr>
        <w:t>平阳县人民医院</w:t>
      </w:r>
    </w:p>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乙方：本次采购的成交供应商</w:t>
      </w:r>
    </w:p>
    <w:p>
      <w:pPr>
        <w:pStyle w:val="10"/>
        <w:snapToGrid w:val="0"/>
        <w:spacing w:line="480" w:lineRule="exact"/>
        <w:ind w:firstLine="570"/>
        <w:rPr>
          <w:rFonts w:hAnsi="宋体" w:cs="宋体"/>
          <w:color w:val="auto"/>
          <w:sz w:val="22"/>
          <w:szCs w:val="22"/>
          <w:highlight w:val="none"/>
        </w:rPr>
      </w:pPr>
      <w:r>
        <w:rPr>
          <w:rFonts w:hint="eastAsia" w:hAnsi="宋体" w:cs="宋体"/>
          <w:color w:val="auto"/>
          <w:sz w:val="22"/>
          <w:szCs w:val="22"/>
          <w:highlight w:val="none"/>
        </w:rPr>
        <w:t>双方经协商，就乙方向甲方提供本公司产品以及相关产品的伴随服务事宜达成以下条款：</w:t>
      </w:r>
    </w:p>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第一条：采购商品清单及合同价格</w:t>
      </w:r>
    </w:p>
    <w:p>
      <w:pPr>
        <w:snapToGrid w:val="0"/>
        <w:spacing w:line="480" w:lineRule="exact"/>
        <w:ind w:firstLine="540"/>
        <w:rPr>
          <w:rFonts w:ascii="宋体" w:hAnsi="宋体" w:cs="宋体"/>
          <w:color w:val="auto"/>
          <w:sz w:val="22"/>
          <w:szCs w:val="22"/>
          <w:highlight w:val="none"/>
        </w:rPr>
      </w:pPr>
      <w:r>
        <w:rPr>
          <w:rFonts w:hint="eastAsia" w:ascii="宋体" w:hAnsi="宋体" w:cs="宋体"/>
          <w:color w:val="auto"/>
          <w:sz w:val="22"/>
          <w:szCs w:val="22"/>
          <w:highlight w:val="none"/>
        </w:rPr>
        <w:t>乙方保证提供如下内容的合格产品：                     金额单位：人民币元</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770"/>
        <w:gridCol w:w="963"/>
        <w:gridCol w:w="1623"/>
        <w:gridCol w:w="1627"/>
        <w:gridCol w:w="750"/>
        <w:gridCol w:w="717"/>
        <w:gridCol w:w="834"/>
        <w:gridCol w:w="766"/>
        <w:gridCol w:w="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序号</w:t>
            </w:r>
          </w:p>
        </w:tc>
        <w:tc>
          <w:tcPr>
            <w:tcW w:w="770"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分项</w:t>
            </w:r>
          </w:p>
        </w:tc>
        <w:tc>
          <w:tcPr>
            <w:tcW w:w="963"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子项</w:t>
            </w:r>
          </w:p>
        </w:tc>
        <w:tc>
          <w:tcPr>
            <w:tcW w:w="1623"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清单</w:t>
            </w:r>
          </w:p>
        </w:tc>
        <w:tc>
          <w:tcPr>
            <w:tcW w:w="1627"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技术要求</w:t>
            </w:r>
          </w:p>
        </w:tc>
        <w:tc>
          <w:tcPr>
            <w:tcW w:w="750"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数量</w:t>
            </w:r>
          </w:p>
        </w:tc>
        <w:tc>
          <w:tcPr>
            <w:tcW w:w="717"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单位</w:t>
            </w:r>
          </w:p>
        </w:tc>
        <w:tc>
          <w:tcPr>
            <w:tcW w:w="834"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单价（元）</w:t>
            </w:r>
          </w:p>
        </w:tc>
        <w:tc>
          <w:tcPr>
            <w:tcW w:w="76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总价（元）</w:t>
            </w:r>
          </w:p>
        </w:tc>
        <w:tc>
          <w:tcPr>
            <w:tcW w:w="683"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jc w:val="center"/>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jc w:val="center"/>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4</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jc w:val="center"/>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jc w:val="center"/>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b/>
                <w:bCs/>
                <w:color w:val="auto"/>
                <w:sz w:val="22"/>
                <w:szCs w:val="22"/>
                <w:highlight w:val="none"/>
              </w:rPr>
            </w:pPr>
          </w:p>
        </w:tc>
        <w:tc>
          <w:tcPr>
            <w:tcW w:w="6450" w:type="dxa"/>
            <w:gridSpan w:val="6"/>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b/>
                <w:bCs/>
                <w:color w:val="auto"/>
                <w:sz w:val="22"/>
                <w:szCs w:val="22"/>
                <w:highlight w:val="none"/>
              </w:rPr>
              <w:t>合  计（元）</w:t>
            </w:r>
          </w:p>
        </w:tc>
        <w:tc>
          <w:tcPr>
            <w:tcW w:w="2283" w:type="dxa"/>
            <w:gridSpan w:val="3"/>
            <w:noWrap w:val="0"/>
            <w:vAlign w:val="center"/>
          </w:tcPr>
          <w:p>
            <w:pPr>
              <w:spacing w:line="440" w:lineRule="exact"/>
              <w:rPr>
                <w:rFonts w:ascii="宋体" w:hAnsi="宋体" w:cs="宋体"/>
                <w:color w:val="auto"/>
                <w:sz w:val="22"/>
                <w:szCs w:val="22"/>
                <w:highlight w:val="none"/>
              </w:rPr>
            </w:pPr>
          </w:p>
        </w:tc>
      </w:tr>
    </w:tbl>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第二条：项目概括</w:t>
      </w:r>
    </w:p>
    <w:p>
      <w:pPr>
        <w:pStyle w:val="10"/>
        <w:snapToGrid w:val="0"/>
        <w:spacing w:line="480" w:lineRule="exact"/>
        <w:rPr>
          <w:rFonts w:hAnsi="宋体" w:cs="宋体"/>
          <w:color w:val="auto"/>
          <w:sz w:val="22"/>
          <w:szCs w:val="22"/>
          <w:highlight w:val="none"/>
        </w:rPr>
      </w:pPr>
      <w:r>
        <w:rPr>
          <w:rFonts w:hint="eastAsia" w:hAnsi="宋体" w:cs="宋体"/>
          <w:color w:val="auto"/>
          <w:sz w:val="22"/>
          <w:szCs w:val="22"/>
          <w:highlight w:val="none"/>
        </w:rPr>
        <w:t>1、项目名称：</w:t>
      </w:r>
    </w:p>
    <w:p>
      <w:pPr>
        <w:pStyle w:val="10"/>
        <w:snapToGrid w:val="0"/>
        <w:spacing w:line="480" w:lineRule="exact"/>
        <w:rPr>
          <w:rFonts w:hAnsi="宋体" w:cs="宋体"/>
          <w:color w:val="auto"/>
          <w:sz w:val="22"/>
          <w:szCs w:val="22"/>
          <w:highlight w:val="none"/>
        </w:rPr>
      </w:pPr>
      <w:r>
        <w:rPr>
          <w:rFonts w:hint="eastAsia" w:hAnsi="宋体" w:cs="宋体"/>
          <w:color w:val="auto"/>
          <w:sz w:val="22"/>
          <w:szCs w:val="22"/>
          <w:highlight w:val="none"/>
        </w:rPr>
        <w:t>2、项目地点：</w:t>
      </w:r>
    </w:p>
    <w:p>
      <w:pPr>
        <w:pStyle w:val="10"/>
        <w:snapToGrid w:val="0"/>
        <w:spacing w:line="480" w:lineRule="exact"/>
        <w:rPr>
          <w:rFonts w:hAnsi="宋体" w:cs="宋体"/>
          <w:color w:val="auto"/>
          <w:sz w:val="22"/>
          <w:szCs w:val="22"/>
          <w:highlight w:val="none"/>
        </w:rPr>
      </w:pPr>
      <w:r>
        <w:rPr>
          <w:rFonts w:hint="eastAsia" w:hAnsi="宋体" w:cs="宋体"/>
          <w:color w:val="auto"/>
          <w:sz w:val="22"/>
          <w:szCs w:val="22"/>
          <w:highlight w:val="none"/>
        </w:rPr>
        <w:t>3、项目内容：设备供货、安装、验收、调试</w:t>
      </w:r>
      <w:r>
        <w:rPr>
          <w:rFonts w:hint="eastAsia" w:hAnsi="宋体" w:cs="宋体"/>
          <w:color w:val="auto"/>
          <w:sz w:val="22"/>
          <w:szCs w:val="22"/>
          <w:highlight w:val="none"/>
          <w:lang w:eastAsia="zh-CN"/>
        </w:rPr>
        <w:t>、</w:t>
      </w:r>
      <w:r>
        <w:rPr>
          <w:rFonts w:hint="eastAsia" w:hAnsi="宋体" w:cs="宋体"/>
          <w:color w:val="auto"/>
          <w:sz w:val="22"/>
          <w:szCs w:val="22"/>
          <w:highlight w:val="none"/>
          <w:lang w:val="en-US" w:eastAsia="zh-CN"/>
        </w:rPr>
        <w:t>运维、售后服务</w:t>
      </w:r>
      <w:r>
        <w:rPr>
          <w:rFonts w:hint="eastAsia" w:hAnsi="宋体" w:cs="宋体"/>
          <w:color w:val="auto"/>
          <w:sz w:val="22"/>
          <w:szCs w:val="22"/>
          <w:highlight w:val="none"/>
        </w:rPr>
        <w:t>等。</w:t>
      </w:r>
    </w:p>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第三条：合同工期</w:t>
      </w:r>
    </w:p>
    <w:p>
      <w:pPr>
        <w:pStyle w:val="10"/>
        <w:snapToGrid w:val="0"/>
        <w:spacing w:line="480" w:lineRule="exact"/>
        <w:rPr>
          <w:rFonts w:hAnsi="宋体" w:cs="宋体"/>
          <w:color w:val="auto"/>
          <w:sz w:val="22"/>
          <w:szCs w:val="22"/>
          <w:highlight w:val="none"/>
        </w:rPr>
      </w:pPr>
      <w:r>
        <w:rPr>
          <w:rFonts w:hint="eastAsia" w:hAnsi="宋体" w:cs="宋体"/>
          <w:b w:val="0"/>
          <w:bCs w:val="0"/>
          <w:color w:val="auto"/>
          <w:sz w:val="22"/>
          <w:szCs w:val="22"/>
          <w:highlight w:val="none"/>
        </w:rPr>
        <w:t>合同签订后</w:t>
      </w:r>
      <w:r>
        <w:rPr>
          <w:rFonts w:hint="eastAsia" w:hAnsi="宋体" w:cs="宋体"/>
          <w:b w:val="0"/>
          <w:bCs w:val="0"/>
          <w:color w:val="auto"/>
          <w:sz w:val="22"/>
          <w:szCs w:val="22"/>
          <w:highlight w:val="none"/>
          <w:lang w:val="en-US" w:eastAsia="zh-CN"/>
        </w:rPr>
        <w:t>在接到采购人进场施工通知之日起，90日历天</w:t>
      </w:r>
      <w:r>
        <w:rPr>
          <w:rFonts w:hint="eastAsia" w:hAnsi="宋体" w:cs="宋体"/>
          <w:b w:val="0"/>
          <w:bCs w:val="0"/>
          <w:color w:val="auto"/>
          <w:sz w:val="22"/>
          <w:szCs w:val="22"/>
          <w:highlight w:val="none"/>
        </w:rPr>
        <w:t>之内交货并安装调试完毕</w:t>
      </w:r>
      <w:r>
        <w:rPr>
          <w:rFonts w:hint="eastAsia" w:hAnsi="宋体" w:cs="宋体"/>
          <w:b w:val="0"/>
          <w:bCs w:val="0"/>
          <w:color w:val="auto"/>
          <w:sz w:val="22"/>
          <w:szCs w:val="22"/>
          <w:highlight w:val="none"/>
          <w:lang w:val="en-US" w:eastAsia="zh-CN"/>
        </w:rPr>
        <w:t>通过验收</w:t>
      </w:r>
      <w:r>
        <w:rPr>
          <w:rFonts w:hint="eastAsia" w:hAnsi="宋体" w:cs="宋体"/>
          <w:b w:val="0"/>
          <w:bCs w:val="0"/>
          <w:color w:val="auto"/>
          <w:sz w:val="22"/>
          <w:szCs w:val="22"/>
          <w:highlight w:val="none"/>
        </w:rPr>
        <w:t>。</w:t>
      </w:r>
    </w:p>
    <w:p>
      <w:pPr>
        <w:pStyle w:val="10"/>
        <w:snapToGrid w:val="0"/>
        <w:spacing w:line="480" w:lineRule="exact"/>
        <w:rPr>
          <w:rFonts w:hint="eastAsia" w:hAnsi="宋体" w:cs="宋体"/>
          <w:b/>
          <w:bCs/>
          <w:color w:val="auto"/>
          <w:sz w:val="22"/>
          <w:szCs w:val="22"/>
          <w:highlight w:val="none"/>
          <w:lang w:eastAsia="zh-CN"/>
        </w:rPr>
      </w:pPr>
      <w:r>
        <w:rPr>
          <w:rFonts w:hint="eastAsia" w:hAnsi="宋体" w:cs="宋体"/>
          <w:b/>
          <w:bCs/>
          <w:color w:val="auto"/>
          <w:sz w:val="22"/>
          <w:szCs w:val="22"/>
          <w:highlight w:val="none"/>
        </w:rPr>
        <w:t>第四条：付款方式：</w:t>
      </w:r>
    </w:p>
    <w:p>
      <w:pPr>
        <w:pStyle w:val="10"/>
        <w:snapToGrid w:val="0"/>
        <w:spacing w:line="480" w:lineRule="exact"/>
        <w:ind w:firstLine="440" w:firstLineChars="200"/>
        <w:rPr>
          <w:rFonts w:hint="default" w:hAnsi="宋体" w:cs="宋体"/>
          <w:color w:val="auto"/>
          <w:sz w:val="22"/>
          <w:szCs w:val="22"/>
          <w:highlight w:val="none"/>
          <w:lang w:val="en-US" w:eastAsia="zh-CN"/>
        </w:rPr>
      </w:pPr>
      <w:r>
        <w:rPr>
          <w:rFonts w:hint="eastAsia" w:hAnsi="宋体" w:cs="宋体"/>
          <w:color w:val="auto"/>
          <w:sz w:val="22"/>
          <w:szCs w:val="22"/>
          <w:highlight w:val="none"/>
          <w:lang w:val="en-US" w:eastAsia="zh-CN"/>
        </w:rPr>
        <w:t>①签订合同后7日内中标单位向采购人支付合同总价的2%作为履约保证金；进场施工后10日内院方支付合同价10%作为预付款；</w:t>
      </w:r>
    </w:p>
    <w:p>
      <w:pPr>
        <w:pStyle w:val="10"/>
        <w:snapToGrid w:val="0"/>
        <w:spacing w:line="48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②本项目产品运行质保期为7年，经第三方有资质的机构审计后每年节能金额达到66万元及以上时，则采购人将合同总价的88.5%分为七年平均支付给中标人；</w:t>
      </w:r>
    </w:p>
    <w:p>
      <w:pPr>
        <w:pStyle w:val="10"/>
        <w:snapToGrid w:val="0"/>
        <w:spacing w:line="48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③本项目产品运行质保期为7年，若质保期内采购人实际支付给中标人的金额达到签约合同价或质保期满时（按先达到的条件认定），本合同自动终止，届时中标人将设备资产一次性转移给采购人。采购人同时一次性无息退还中标人的履约保证金，并不再支付中标人其余费用。</w:t>
      </w:r>
    </w:p>
    <w:p>
      <w:pPr>
        <w:pStyle w:val="10"/>
        <w:snapToGrid w:val="0"/>
        <w:spacing w:line="480" w:lineRule="exact"/>
        <w:ind w:firstLine="440" w:firstLineChars="200"/>
        <w:rPr>
          <w:rFonts w:hint="default" w:hAnsi="宋体" w:cs="宋体"/>
          <w:color w:val="auto"/>
          <w:sz w:val="22"/>
          <w:szCs w:val="22"/>
          <w:highlight w:val="none"/>
          <w:lang w:val="en-US" w:eastAsia="zh-CN"/>
        </w:rPr>
      </w:pPr>
      <w:r>
        <w:rPr>
          <w:rFonts w:hint="eastAsia" w:hAnsi="宋体" w:cs="宋体"/>
          <w:color w:val="auto"/>
          <w:sz w:val="22"/>
          <w:szCs w:val="22"/>
          <w:highlight w:val="none"/>
          <w:lang w:val="en-US" w:eastAsia="zh-CN"/>
        </w:rPr>
        <w:t>④剩余合同总价的1.5%在合同期满一年后无质量问题情况下，采购人一次性支付给中标人。</w:t>
      </w:r>
    </w:p>
    <w:p>
      <w:pPr>
        <w:pStyle w:val="10"/>
        <w:snapToGrid w:val="0"/>
        <w:spacing w:line="48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⑤节能费用以第三方能源审计为准，若合同期内，连续两年节能费用金额未达到66万/年，则视为中标人违约，采购人有权单方面终止合同不再支付剩余合同金额，并没收中标人履约保证金，且中标人将设备资产一次性移交给采购人。</w:t>
      </w:r>
    </w:p>
    <w:p>
      <w:pPr>
        <w:pStyle w:val="10"/>
        <w:snapToGrid w:val="0"/>
        <w:spacing w:line="48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⑥节能费用的水、电、气的单价按2019年院方财务支出的单价为准。鉴于近年来能源单价浮动较大，为保障双方利益，合同期内能源单价结算做如下恒定： 天然气单价恒定：4元/立方； 电费单价0.7177元/度；水：5.4元/吨。</w:t>
      </w:r>
    </w:p>
    <w:p>
      <w:pPr>
        <w:pStyle w:val="10"/>
        <w:snapToGrid w:val="0"/>
        <w:spacing w:line="480" w:lineRule="exact"/>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⑦合同期内因施工改造原因引起的（改造范围内）水、电、气计量不准确而产生的法律风险由供应商承担；</w:t>
      </w:r>
    </w:p>
    <w:p>
      <w:pPr>
        <w:pStyle w:val="10"/>
        <w:snapToGrid w:val="0"/>
        <w:spacing w:line="480" w:lineRule="exact"/>
        <w:ind w:firstLine="442" w:firstLineChars="200"/>
        <w:rPr>
          <w:rFonts w:hAnsi="宋体" w:cs="宋体"/>
          <w:b/>
          <w:bCs/>
          <w:color w:val="auto"/>
          <w:sz w:val="22"/>
          <w:szCs w:val="22"/>
          <w:highlight w:val="none"/>
        </w:rPr>
      </w:pPr>
      <w:r>
        <w:rPr>
          <w:rFonts w:hint="eastAsia" w:hAnsi="宋体" w:cs="宋体"/>
          <w:b/>
          <w:bCs/>
          <w:color w:val="auto"/>
          <w:sz w:val="22"/>
          <w:szCs w:val="22"/>
          <w:highlight w:val="none"/>
        </w:rPr>
        <w:t>第五条：双方责任</w:t>
      </w:r>
    </w:p>
    <w:p>
      <w:pPr>
        <w:spacing w:line="480" w:lineRule="exact"/>
        <w:ind w:left="442" w:hanging="442" w:hangingChars="200"/>
        <w:rPr>
          <w:rFonts w:ascii="宋体" w:hAnsi="宋体" w:cs="宋体"/>
          <w:b/>
          <w:bCs/>
          <w:color w:val="auto"/>
          <w:sz w:val="22"/>
          <w:szCs w:val="22"/>
          <w:highlight w:val="none"/>
        </w:rPr>
      </w:pPr>
      <w:r>
        <w:rPr>
          <w:rFonts w:hint="eastAsia" w:ascii="宋体" w:hAnsi="宋体" w:cs="宋体"/>
          <w:b/>
          <w:bCs/>
          <w:color w:val="auto"/>
          <w:sz w:val="22"/>
          <w:szCs w:val="22"/>
          <w:highlight w:val="none"/>
        </w:rPr>
        <w:t xml:space="preserve">  （一）甲方责任</w:t>
      </w:r>
    </w:p>
    <w:p>
      <w:pPr>
        <w:spacing w:line="480" w:lineRule="exact"/>
        <w:ind w:right="79" w:rightChars="33"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 xml:space="preserve"> 1、协调乙方在施工中所涉及的各种关系，消除施工现场的安全隐患，做好现场安全、保卫、环境工作，提供电源、信号线通至施工现场。</w:t>
      </w:r>
    </w:p>
    <w:p>
      <w:pPr>
        <w:spacing w:line="480" w:lineRule="exact"/>
        <w:ind w:right="79" w:rightChars="33"/>
        <w:rPr>
          <w:rFonts w:ascii="宋体" w:hAnsi="宋体" w:cs="宋体"/>
          <w:color w:val="auto"/>
          <w:sz w:val="22"/>
          <w:szCs w:val="22"/>
          <w:highlight w:val="none"/>
        </w:rPr>
      </w:pPr>
      <w:r>
        <w:rPr>
          <w:rFonts w:hint="eastAsia" w:ascii="宋体" w:hAnsi="宋体" w:cs="宋体"/>
          <w:color w:val="auto"/>
          <w:sz w:val="22"/>
          <w:szCs w:val="22"/>
          <w:highlight w:val="none"/>
        </w:rPr>
        <w:t xml:space="preserve">     2、协调、配合乙方施工现场的管理、清理室内影响施工的障碍物，向乙方提供施工过程中所需的水、电等设施源，向乙方提供堆放工具和其它相关设施的场地。 </w:t>
      </w:r>
    </w:p>
    <w:p>
      <w:pPr>
        <w:spacing w:line="480" w:lineRule="exact"/>
        <w:ind w:right="79" w:rightChars="33" w:firstLine="560"/>
        <w:rPr>
          <w:rFonts w:ascii="宋体" w:hAnsi="宋体" w:cs="宋体"/>
          <w:color w:val="auto"/>
          <w:sz w:val="22"/>
          <w:szCs w:val="22"/>
          <w:highlight w:val="none"/>
        </w:rPr>
      </w:pPr>
      <w:r>
        <w:rPr>
          <w:rFonts w:hint="eastAsia" w:ascii="宋体" w:hAnsi="宋体" w:cs="宋体"/>
          <w:color w:val="auto"/>
          <w:sz w:val="22"/>
          <w:szCs w:val="22"/>
          <w:highlight w:val="none"/>
        </w:rPr>
        <w:t>3、在工程施工过程中如有变更或增减，甲乙双方以联系单方式确认。</w:t>
      </w:r>
    </w:p>
    <w:p>
      <w:pPr>
        <w:spacing w:line="480" w:lineRule="exact"/>
        <w:ind w:left="442" w:hanging="442" w:hangingChars="200"/>
        <w:rPr>
          <w:rFonts w:ascii="宋体" w:hAnsi="宋体" w:cs="宋体"/>
          <w:color w:val="auto"/>
          <w:sz w:val="22"/>
          <w:szCs w:val="22"/>
          <w:highlight w:val="none"/>
        </w:rPr>
      </w:pPr>
      <w:r>
        <w:rPr>
          <w:rFonts w:hint="eastAsia" w:ascii="宋体" w:hAnsi="宋体" w:cs="宋体"/>
          <w:b/>
          <w:bCs/>
          <w:color w:val="auto"/>
          <w:sz w:val="22"/>
          <w:szCs w:val="22"/>
          <w:highlight w:val="none"/>
        </w:rPr>
        <w:t xml:space="preserve"> （二）乙方责任</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1、承担医院智能化用电管理系统设备安装、系统调试等工作。</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2、提供设备安装工程所需设备、配件及材料，不得私自变更设备厂家、配件、材料规格，降低产品质量。</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3、承担安装、系统调试及参与竣工验收。</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4、负责本系统保修期内的保修、保修期外的有偿保修服务。</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5、负责施工人员及施工设备的安全，在施工过程中，若出现施工人员安全、设备损坏情况，须分清责任，属于乙方责任的，由乙方自负，责任和费用与甲方无关。 </w:t>
      </w:r>
    </w:p>
    <w:p>
      <w:pPr>
        <w:spacing w:line="480" w:lineRule="exact"/>
        <w:ind w:firstLine="660" w:firstLineChars="300"/>
        <w:rPr>
          <w:rFonts w:ascii="宋体" w:hAnsi="宋体" w:cs="宋体"/>
          <w:color w:val="auto"/>
          <w:sz w:val="22"/>
          <w:szCs w:val="22"/>
          <w:highlight w:val="none"/>
        </w:rPr>
      </w:pPr>
      <w:r>
        <w:rPr>
          <w:rFonts w:hint="eastAsia" w:ascii="宋体" w:hAnsi="宋体" w:cs="宋体"/>
          <w:color w:val="auto"/>
          <w:sz w:val="22"/>
          <w:szCs w:val="22"/>
          <w:highlight w:val="none"/>
        </w:rPr>
        <w:t>6、中标方施工中不得损坏院方所有设备，若有损坏须负责赔偿损失，乙方要采取有效措施，保持现场清洁、道路畅通、器材堆放整齐，及时清除垃圾。</w:t>
      </w:r>
    </w:p>
    <w:p>
      <w:pPr>
        <w:spacing w:line="480" w:lineRule="exact"/>
        <w:ind w:firstLine="660" w:firstLineChars="300"/>
        <w:rPr>
          <w:rFonts w:ascii="宋体" w:hAnsi="宋体" w:cs="宋体"/>
          <w:color w:val="auto"/>
          <w:sz w:val="22"/>
          <w:szCs w:val="22"/>
          <w:highlight w:val="none"/>
        </w:rPr>
      </w:pPr>
      <w:r>
        <w:rPr>
          <w:rFonts w:hint="eastAsia" w:ascii="宋体" w:hAnsi="宋体" w:cs="宋体"/>
          <w:color w:val="auto"/>
          <w:sz w:val="22"/>
          <w:szCs w:val="22"/>
          <w:highlight w:val="none"/>
        </w:rPr>
        <w:t>7、负责将甲方已建成的二期</w:t>
      </w:r>
      <w:r>
        <w:rPr>
          <w:rFonts w:ascii="宋体" w:hAnsi="宋体" w:cs="宋体"/>
          <w:color w:val="auto"/>
          <w:sz w:val="22"/>
          <w:szCs w:val="22"/>
          <w:highlight w:val="none"/>
        </w:rPr>
        <w:t>建筑</w:t>
      </w:r>
      <w:r>
        <w:rPr>
          <w:rFonts w:hint="eastAsia" w:ascii="宋体" w:hAnsi="宋体" w:cs="宋体"/>
          <w:color w:val="auto"/>
          <w:sz w:val="22"/>
          <w:szCs w:val="22"/>
          <w:highlight w:val="none"/>
        </w:rPr>
        <w:t>能耗监测系统免费接入</w:t>
      </w:r>
      <w:r>
        <w:rPr>
          <w:rFonts w:ascii="宋体" w:hAnsi="宋体" w:cs="宋体"/>
          <w:color w:val="auto"/>
          <w:sz w:val="22"/>
          <w:szCs w:val="22"/>
          <w:highlight w:val="none"/>
        </w:rPr>
        <w:t>本次新建的平台</w:t>
      </w:r>
      <w:r>
        <w:rPr>
          <w:rFonts w:hint="eastAsia" w:ascii="宋体" w:hAnsi="宋体" w:cs="宋体"/>
          <w:color w:val="auto"/>
          <w:sz w:val="22"/>
          <w:szCs w:val="22"/>
          <w:highlight w:val="none"/>
        </w:rPr>
        <w:t>中</w:t>
      </w:r>
      <w:r>
        <w:rPr>
          <w:rFonts w:ascii="宋体" w:hAnsi="宋体" w:cs="宋体"/>
          <w:color w:val="auto"/>
          <w:sz w:val="22"/>
          <w:szCs w:val="22"/>
          <w:highlight w:val="none"/>
        </w:rPr>
        <w:t>，</w:t>
      </w:r>
      <w:r>
        <w:rPr>
          <w:rFonts w:hint="eastAsia" w:ascii="宋体" w:hAnsi="宋体" w:cs="宋体"/>
          <w:color w:val="auto"/>
          <w:sz w:val="22"/>
          <w:szCs w:val="22"/>
          <w:highlight w:val="none"/>
        </w:rPr>
        <w:t>中标</w:t>
      </w:r>
      <w:r>
        <w:rPr>
          <w:rFonts w:ascii="宋体" w:hAnsi="宋体" w:cs="宋体"/>
          <w:color w:val="auto"/>
          <w:sz w:val="22"/>
          <w:szCs w:val="22"/>
          <w:highlight w:val="none"/>
        </w:rPr>
        <w:t>单位</w:t>
      </w:r>
      <w:r>
        <w:rPr>
          <w:rFonts w:hint="eastAsia" w:ascii="宋体" w:hAnsi="宋体" w:cs="宋体"/>
          <w:color w:val="auto"/>
          <w:sz w:val="22"/>
          <w:szCs w:val="22"/>
          <w:highlight w:val="none"/>
        </w:rPr>
        <w:t>负责</w:t>
      </w:r>
      <w:r>
        <w:rPr>
          <w:rFonts w:ascii="宋体" w:hAnsi="宋体" w:cs="宋体"/>
          <w:color w:val="auto"/>
          <w:sz w:val="22"/>
          <w:szCs w:val="22"/>
          <w:highlight w:val="none"/>
        </w:rPr>
        <w:t>和原</w:t>
      </w:r>
      <w:r>
        <w:rPr>
          <w:rFonts w:hint="eastAsia" w:ascii="宋体" w:hAnsi="宋体" w:cs="宋体"/>
          <w:color w:val="auto"/>
          <w:sz w:val="22"/>
          <w:szCs w:val="22"/>
          <w:highlight w:val="none"/>
        </w:rPr>
        <w:t>建</w:t>
      </w:r>
      <w:r>
        <w:rPr>
          <w:rFonts w:ascii="宋体" w:hAnsi="宋体" w:cs="宋体"/>
          <w:color w:val="auto"/>
          <w:sz w:val="22"/>
          <w:szCs w:val="22"/>
          <w:highlight w:val="none"/>
        </w:rPr>
        <w:t>单位</w:t>
      </w:r>
      <w:r>
        <w:rPr>
          <w:rFonts w:hint="eastAsia" w:ascii="宋体" w:hAnsi="宋体" w:cs="宋体"/>
          <w:color w:val="auto"/>
          <w:sz w:val="22"/>
          <w:szCs w:val="22"/>
          <w:highlight w:val="none"/>
        </w:rPr>
        <w:t>对接所有</w:t>
      </w:r>
      <w:r>
        <w:rPr>
          <w:rFonts w:ascii="宋体" w:hAnsi="宋体" w:cs="宋体"/>
          <w:color w:val="auto"/>
          <w:sz w:val="22"/>
          <w:szCs w:val="22"/>
          <w:highlight w:val="none"/>
        </w:rPr>
        <w:t>相关</w:t>
      </w:r>
      <w:r>
        <w:rPr>
          <w:rFonts w:hint="eastAsia" w:ascii="宋体" w:hAnsi="宋体" w:cs="宋体"/>
          <w:color w:val="auto"/>
          <w:sz w:val="22"/>
          <w:szCs w:val="22"/>
          <w:highlight w:val="none"/>
        </w:rPr>
        <w:t>事宜。</w:t>
      </w:r>
    </w:p>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第六条：项目验收</w:t>
      </w:r>
    </w:p>
    <w:p>
      <w:pPr>
        <w:pStyle w:val="10"/>
        <w:snapToGrid w:val="0"/>
        <w:spacing w:line="48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1、项目竣工后，由乙方及时通知甲方，甲方在接到乙方竣工通知的三天内，组织技术部门或指定的人员会同乙方人员现场验收，并填写竣工单及相关书面资料。乙方工程为交钥匙工程，负责竣工验收资料的交付及验收。</w:t>
      </w:r>
    </w:p>
    <w:p>
      <w:pPr>
        <w:pStyle w:val="10"/>
        <w:snapToGrid w:val="0"/>
        <w:spacing w:line="48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2、甲乙双方设置一周时间，作为设备调整和操作人员培训试运期。</w:t>
      </w:r>
    </w:p>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第七条：售后服务</w:t>
      </w:r>
    </w:p>
    <w:p>
      <w:pPr>
        <w:spacing w:line="480" w:lineRule="exact"/>
        <w:ind w:firstLine="220" w:firstLineChars="100"/>
        <w:rPr>
          <w:rFonts w:ascii="宋体" w:hAnsi="宋体" w:cs="宋体"/>
          <w:color w:val="auto"/>
          <w:sz w:val="22"/>
          <w:szCs w:val="22"/>
          <w:highlight w:val="none"/>
        </w:rPr>
      </w:pPr>
      <w:r>
        <w:rPr>
          <w:rFonts w:hint="eastAsia" w:hAnsi="宋体" w:cs="宋体"/>
          <w:color w:val="auto"/>
          <w:sz w:val="22"/>
          <w:szCs w:val="22"/>
          <w:highlight w:val="none"/>
        </w:rPr>
        <w:t xml:space="preserve"> </w:t>
      </w:r>
      <w:r>
        <w:rPr>
          <w:rFonts w:hint="eastAsia" w:ascii="宋体" w:hAnsi="宋体" w:cs="宋体"/>
          <w:color w:val="auto"/>
          <w:sz w:val="22"/>
          <w:szCs w:val="22"/>
          <w:highlight w:val="none"/>
        </w:rPr>
        <w:t>1、乙方保证本合同中所供应的商品是最新生产的符合国家技术规格和质量标准的出厂原装合格产品。如发生所供商品与合同不符，甲方（使用方）有权拒收或退货，由此产生的一切责任和后果由乙方承担。</w:t>
      </w:r>
    </w:p>
    <w:p>
      <w:pPr>
        <w:spacing w:line="48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2、</w:t>
      </w:r>
      <w:r>
        <w:rPr>
          <w:rFonts w:hint="eastAsia" w:cs="宋体"/>
          <w:color w:val="auto"/>
          <w:sz w:val="22"/>
          <w:szCs w:val="22"/>
          <w:highlight w:val="none"/>
          <w:lang w:val="en-US" w:eastAsia="zh-CN"/>
        </w:rPr>
        <w:t>本项目</w:t>
      </w:r>
      <w:r>
        <w:rPr>
          <w:rFonts w:hint="eastAsia" w:ascii="宋体" w:hAnsi="宋体" w:eastAsia="宋体" w:cs="宋体"/>
          <w:b w:val="0"/>
          <w:bCs w:val="0"/>
          <w:color w:val="auto"/>
          <w:sz w:val="22"/>
          <w:szCs w:val="22"/>
          <w:highlight w:val="none"/>
          <w:lang w:val="en-US" w:eastAsia="zh-CN"/>
        </w:rPr>
        <w:t>全系统质保</w:t>
      </w:r>
      <w:r>
        <w:rPr>
          <w:rFonts w:hint="eastAsia" w:eastAsia="宋体" w:cs="宋体"/>
          <w:b w:val="0"/>
          <w:bCs w:val="0"/>
          <w:color w:val="auto"/>
          <w:sz w:val="22"/>
          <w:szCs w:val="22"/>
          <w:highlight w:val="none"/>
          <w:lang w:val="en-US" w:eastAsia="zh-CN"/>
        </w:rPr>
        <w:t>期</w:t>
      </w:r>
      <w:r>
        <w:rPr>
          <w:rFonts w:hint="eastAsia" w:ascii="宋体" w:hAnsi="宋体" w:eastAsia="宋体" w:cs="宋体"/>
          <w:b w:val="0"/>
          <w:bCs w:val="0"/>
          <w:color w:val="auto"/>
          <w:sz w:val="22"/>
          <w:szCs w:val="22"/>
          <w:highlight w:val="none"/>
          <w:lang w:val="en-US" w:eastAsia="zh-CN"/>
        </w:rPr>
        <w:t>7年</w:t>
      </w:r>
      <w:r>
        <w:rPr>
          <w:rFonts w:hint="eastAsia" w:cs="宋体"/>
          <w:b w:val="0"/>
          <w:bCs w:val="0"/>
          <w:color w:val="auto"/>
          <w:sz w:val="22"/>
          <w:szCs w:val="22"/>
          <w:highlight w:val="none"/>
          <w:lang w:val="en-US" w:eastAsia="zh-CN"/>
        </w:rPr>
        <w:t>（院方原有设备除外）。</w:t>
      </w:r>
      <w:r>
        <w:rPr>
          <w:rFonts w:hint="eastAsia" w:ascii="宋体" w:hAnsi="宋体" w:cs="宋体"/>
          <w:color w:val="auto"/>
          <w:sz w:val="22"/>
          <w:szCs w:val="22"/>
          <w:highlight w:val="none"/>
        </w:rPr>
        <w:t>乙方提供的货物在质保期内因货物本身的质量问题发生故障，乙方应负责免费更换。对达不到技术要求者，根据实际情况，经双方协商，可按以下办法处理：</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⑴更换：由乙方承担所发生的全部费用。</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⑵贬值处理：由甲乙双方合议定价。</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⑶退货处理：乙方应退还甲方支付的合同款，同时应承担该货物的直接费用（运输、保险、检验、货款利息及银行手续费等）。</w:t>
      </w:r>
    </w:p>
    <w:p>
      <w:pPr>
        <w:spacing w:line="48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3、在质保期内，乙方应对货物出现的质量及安全问题负责处理解决并承担一切费用。</w:t>
      </w:r>
    </w:p>
    <w:p>
      <w:pPr>
        <w:spacing w:line="48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4、上述的货物在质保期内免费保修，因人为因素出现的故障不在免费保修范围内。超过保修期的机器设备，终生维修，维修时只收部件成本费。</w:t>
      </w:r>
    </w:p>
    <w:p>
      <w:pPr>
        <w:pStyle w:val="10"/>
        <w:snapToGrid w:val="0"/>
        <w:spacing w:line="480" w:lineRule="exact"/>
        <w:ind w:firstLine="220" w:firstLineChars="100"/>
        <w:rPr>
          <w:rFonts w:hAnsi="宋体" w:cs="宋体"/>
          <w:color w:val="auto"/>
          <w:sz w:val="22"/>
          <w:szCs w:val="22"/>
          <w:highlight w:val="none"/>
        </w:rPr>
      </w:pPr>
      <w:r>
        <w:rPr>
          <w:rFonts w:hint="eastAsia" w:hAnsi="宋体" w:cs="宋体"/>
          <w:color w:val="auto"/>
          <w:sz w:val="22"/>
          <w:szCs w:val="22"/>
          <w:highlight w:val="none"/>
        </w:rPr>
        <w:t>5、享受乙方软件的升级服务，包括提供具有新增功能的更新软件产品；提供主要维护版本的更新软件产品；提供软件修补包及替代方法。</w:t>
      </w:r>
    </w:p>
    <w:p>
      <w:pPr>
        <w:pStyle w:val="10"/>
        <w:snapToGrid w:val="0"/>
        <w:spacing w:line="480" w:lineRule="exact"/>
        <w:ind w:firstLine="220" w:firstLineChars="100"/>
        <w:rPr>
          <w:rFonts w:hAnsi="宋体" w:cs="宋体"/>
          <w:color w:val="auto"/>
          <w:sz w:val="22"/>
          <w:szCs w:val="22"/>
          <w:highlight w:val="none"/>
        </w:rPr>
      </w:pPr>
      <w:r>
        <w:rPr>
          <w:rFonts w:hint="eastAsia" w:hAnsi="宋体" w:cs="宋体"/>
          <w:color w:val="auto"/>
          <w:sz w:val="22"/>
          <w:szCs w:val="22"/>
          <w:highlight w:val="none"/>
        </w:rPr>
        <w:t>6、提供免费培训二次：乙方为甲方管理及操作人员提供有关设备运行、管理、操作的教学培训。</w:t>
      </w:r>
    </w:p>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第八条：双方约定</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1、乙方向甲方承诺按照合同约定的时间进行施工、竣工并承担工程质量和设备的维修、保养和保修服务。</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2、甲方向乙方承诺按照合同约定的期限和方式支付合同价款及其他应当支付的款项。</w:t>
      </w:r>
    </w:p>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第九条：违约处罚及争议解决</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1、由于乙方原因造成工期延误及安全事故，由乙方承担全部责任（延期一天按合同金额的1%支付违约金）；</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2、由于甲方原因造成延期付款的，由甲方承担责任（延期一天按合同金额的0.5%支付违约金）；</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3、在合同履行中，若双方发生争议，经调解仍</w:t>
      </w:r>
      <w:r>
        <w:rPr>
          <w:rFonts w:hint="eastAsia" w:cs="宋体"/>
          <w:color w:val="auto"/>
          <w:sz w:val="22"/>
          <w:szCs w:val="22"/>
          <w:highlight w:val="none"/>
          <w:lang w:val="en-US" w:eastAsia="zh-CN"/>
        </w:rPr>
        <w:t>未</w:t>
      </w:r>
      <w:r>
        <w:rPr>
          <w:rFonts w:hint="eastAsia" w:ascii="宋体" w:hAnsi="宋体" w:cs="宋体"/>
          <w:color w:val="auto"/>
          <w:sz w:val="22"/>
          <w:szCs w:val="22"/>
          <w:highlight w:val="none"/>
        </w:rPr>
        <w:t>能解决时，则合同任何一方均可向合同履行地所在地法院提起诉讼。</w:t>
      </w:r>
    </w:p>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第十条：其他约定___________________________________________________________</w:t>
      </w:r>
    </w:p>
    <w:p>
      <w:pPr>
        <w:pStyle w:val="10"/>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第十一条：合同生效</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本合同一式</w:t>
      </w:r>
      <w:r>
        <w:rPr>
          <w:rFonts w:hint="eastAsia" w:cs="宋体"/>
          <w:color w:val="auto"/>
          <w:sz w:val="22"/>
          <w:szCs w:val="22"/>
          <w:highlight w:val="none"/>
          <w:lang w:val="en-US" w:eastAsia="zh-CN"/>
        </w:rPr>
        <w:t>七</w:t>
      </w:r>
      <w:r>
        <w:rPr>
          <w:rFonts w:hint="eastAsia" w:ascii="宋体" w:hAnsi="宋体" w:cs="宋体"/>
          <w:color w:val="auto"/>
          <w:sz w:val="22"/>
          <w:szCs w:val="22"/>
          <w:highlight w:val="none"/>
        </w:rPr>
        <w:t>份，甲乙双方各执叁份，</w:t>
      </w:r>
      <w:r>
        <w:rPr>
          <w:rFonts w:hint="eastAsia" w:cs="宋体"/>
          <w:color w:val="auto"/>
          <w:sz w:val="22"/>
          <w:szCs w:val="22"/>
          <w:highlight w:val="none"/>
          <w:lang w:val="en-US" w:eastAsia="zh-CN"/>
        </w:rPr>
        <w:t>代理机构一份，</w:t>
      </w:r>
      <w:r>
        <w:rPr>
          <w:rFonts w:hint="eastAsia" w:ascii="宋体" w:hAnsi="宋体" w:cs="宋体"/>
          <w:color w:val="auto"/>
          <w:sz w:val="22"/>
          <w:szCs w:val="22"/>
          <w:highlight w:val="none"/>
        </w:rPr>
        <w:t>经甲乙双方盖章（签字）后生效，具有同等法律效力。</w:t>
      </w:r>
    </w:p>
    <w:p>
      <w:pPr>
        <w:spacing w:line="480" w:lineRule="exact"/>
        <w:ind w:firstLine="440" w:firstLineChars="200"/>
        <w:rPr>
          <w:rFonts w:ascii="宋体" w:hAnsi="宋体" w:cs="宋体"/>
          <w:color w:val="auto"/>
          <w:sz w:val="22"/>
          <w:szCs w:val="22"/>
          <w:highlight w:val="none"/>
        </w:rPr>
      </w:pPr>
    </w:p>
    <w:p>
      <w:pPr>
        <w:pStyle w:val="10"/>
        <w:spacing w:line="600" w:lineRule="exact"/>
        <w:rPr>
          <w:rFonts w:hAnsi="宋体" w:cs="宋体"/>
          <w:color w:val="auto"/>
          <w:sz w:val="22"/>
          <w:szCs w:val="22"/>
          <w:highlight w:val="none"/>
        </w:rPr>
      </w:pPr>
      <w:r>
        <w:rPr>
          <w:rFonts w:hint="eastAsia" w:hAnsi="宋体" w:cs="宋体"/>
          <w:color w:val="auto"/>
          <w:sz w:val="22"/>
          <w:szCs w:val="22"/>
          <w:highlight w:val="none"/>
        </w:rPr>
        <w:t>甲方(盖章)：                                   乙方（盖章）</w:t>
      </w:r>
    </w:p>
    <w:p>
      <w:pPr>
        <w:pStyle w:val="10"/>
        <w:spacing w:line="600" w:lineRule="exact"/>
        <w:rPr>
          <w:rFonts w:hAnsi="宋体" w:cs="宋体"/>
          <w:color w:val="auto"/>
          <w:sz w:val="22"/>
          <w:szCs w:val="22"/>
          <w:highlight w:val="none"/>
        </w:rPr>
      </w:pPr>
      <w:r>
        <w:rPr>
          <w:rFonts w:hint="eastAsia" w:hAnsi="宋体" w:cs="宋体"/>
          <w:color w:val="auto"/>
          <w:sz w:val="22"/>
          <w:szCs w:val="22"/>
          <w:highlight w:val="none"/>
        </w:rPr>
        <w:t>委托代理人：                                   委托代理人：</w:t>
      </w:r>
    </w:p>
    <w:p>
      <w:pPr>
        <w:pStyle w:val="10"/>
        <w:spacing w:line="600" w:lineRule="exact"/>
        <w:rPr>
          <w:rFonts w:hAnsi="宋体" w:cs="宋体"/>
          <w:color w:val="auto"/>
          <w:sz w:val="22"/>
          <w:szCs w:val="22"/>
          <w:highlight w:val="none"/>
        </w:rPr>
      </w:pPr>
      <w:r>
        <w:rPr>
          <w:rFonts w:hint="eastAsia" w:hAnsi="宋体" w:cs="宋体"/>
          <w:color w:val="auto"/>
          <w:sz w:val="22"/>
          <w:szCs w:val="22"/>
          <w:highlight w:val="none"/>
        </w:rPr>
        <w:t>开户银行：                                     开户银行：</w:t>
      </w:r>
    </w:p>
    <w:p>
      <w:pPr>
        <w:pStyle w:val="10"/>
        <w:spacing w:line="600" w:lineRule="exact"/>
        <w:rPr>
          <w:rFonts w:hAnsi="宋体" w:cs="宋体"/>
          <w:color w:val="auto"/>
          <w:sz w:val="22"/>
          <w:szCs w:val="22"/>
          <w:highlight w:val="none"/>
        </w:rPr>
      </w:pPr>
      <w:r>
        <w:rPr>
          <w:rFonts w:hint="eastAsia" w:hAnsi="宋体" w:cs="宋体"/>
          <w:color w:val="auto"/>
          <w:sz w:val="22"/>
          <w:szCs w:val="22"/>
          <w:highlight w:val="none"/>
        </w:rPr>
        <w:t>开户名称：                                     开户名称：</w:t>
      </w:r>
    </w:p>
    <w:p>
      <w:pPr>
        <w:pStyle w:val="10"/>
        <w:spacing w:line="600" w:lineRule="exact"/>
        <w:rPr>
          <w:rFonts w:hAnsi="宋体" w:cs="宋体"/>
          <w:color w:val="auto"/>
          <w:sz w:val="22"/>
          <w:szCs w:val="22"/>
          <w:highlight w:val="none"/>
        </w:rPr>
      </w:pPr>
      <w:r>
        <w:rPr>
          <w:rFonts w:hint="eastAsia" w:hAnsi="宋体" w:cs="宋体"/>
          <w:color w:val="auto"/>
          <w:sz w:val="22"/>
          <w:szCs w:val="22"/>
          <w:highlight w:val="none"/>
        </w:rPr>
        <w:t>账号：                                         账号：</w:t>
      </w:r>
    </w:p>
    <w:p>
      <w:pPr>
        <w:spacing w:line="600" w:lineRule="exact"/>
        <w:rPr>
          <w:color w:val="auto"/>
          <w:highlight w:val="none"/>
        </w:rPr>
      </w:pPr>
      <w:r>
        <w:rPr>
          <w:rFonts w:hint="eastAsia"/>
          <w:color w:val="auto"/>
          <w:highlight w:val="none"/>
        </w:rPr>
        <w:t>签约日期：                                 签约地点：</w:t>
      </w:r>
    </w:p>
    <w:p>
      <w:pPr>
        <w:pStyle w:val="10"/>
        <w:adjustRightInd w:val="0"/>
        <w:snapToGrid w:val="0"/>
        <w:spacing w:line="400" w:lineRule="exact"/>
        <w:jc w:val="center"/>
        <w:rPr>
          <w:rFonts w:hint="eastAsia" w:hAnsi="宋体"/>
          <w:color w:val="auto"/>
          <w:sz w:val="36"/>
          <w:szCs w:val="36"/>
          <w:highlight w:val="none"/>
        </w:rPr>
      </w:pPr>
      <w:r>
        <w:rPr>
          <w:rFonts w:hint="eastAsia" w:ascii="宋体" w:hAnsi="宋体" w:cs="宋体"/>
          <w:color w:val="auto"/>
          <w:sz w:val="36"/>
          <w:szCs w:val="36"/>
          <w:highlight w:val="none"/>
        </w:rPr>
        <w:br w:type="page"/>
      </w:r>
      <w:r>
        <w:rPr>
          <w:rFonts w:hint="eastAsia" w:hAnsi="宋体"/>
          <w:color w:val="auto"/>
          <w:sz w:val="36"/>
          <w:szCs w:val="36"/>
          <w:highlight w:val="none"/>
        </w:rPr>
        <w:t>第六部分    附件—投标文件格式</w:t>
      </w:r>
    </w:p>
    <w:p>
      <w:pPr>
        <w:snapToGrid w:val="0"/>
        <w:spacing w:line="460" w:lineRule="atLeast"/>
        <w:jc w:val="center"/>
        <w:rPr>
          <w:color w:val="auto"/>
          <w:sz w:val="36"/>
          <w:highlight w:val="none"/>
        </w:rPr>
      </w:pPr>
      <w:r>
        <w:rPr>
          <w:rFonts w:hint="eastAsia"/>
          <w:color w:val="auto"/>
          <w:sz w:val="36"/>
          <w:highlight w:val="none"/>
        </w:rPr>
        <w:t>（未提供格式的由供应商自拟）</w:t>
      </w:r>
    </w:p>
    <w:p>
      <w:pPr>
        <w:spacing w:line="360" w:lineRule="auto"/>
        <w:ind w:firstLine="424" w:firstLineChars="151"/>
        <w:rPr>
          <w:rFonts w:hint="eastAsia" w:ascii="仿宋" w:hAnsi="仿宋" w:eastAsia="仿宋" w:cs="Arial"/>
          <w:b/>
          <w:color w:val="auto"/>
          <w:sz w:val="28"/>
          <w:szCs w:val="22"/>
          <w:highlight w:val="none"/>
          <w:u w:val="single"/>
        </w:rPr>
      </w:pPr>
      <w:r>
        <w:rPr>
          <w:rFonts w:ascii="仿宋" w:hAnsi="仿宋" w:eastAsia="仿宋" w:cs="Arial"/>
          <w:b/>
          <w:color w:val="auto"/>
          <w:sz w:val="28"/>
          <w:szCs w:val="22"/>
          <w:highlight w:val="none"/>
        </w:rPr>
        <w:t>重要提示：</w:t>
      </w:r>
    </w:p>
    <w:p>
      <w:pPr>
        <w:spacing w:line="360" w:lineRule="auto"/>
        <w:ind w:firstLine="424" w:firstLineChars="151"/>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（1）</w:t>
      </w:r>
      <w:r>
        <w:rPr>
          <w:rFonts w:hint="eastAsia" w:ascii="仿宋" w:hAnsi="仿宋" w:eastAsia="仿宋" w:cs="Arial"/>
          <w:b/>
          <w:color w:val="auto"/>
          <w:sz w:val="28"/>
          <w:szCs w:val="28"/>
          <w:highlight w:val="none"/>
          <w:u w:val="single"/>
        </w:rPr>
        <w:t>本章节</w:t>
      </w:r>
      <w:r>
        <w:rPr>
          <w:rFonts w:hint="eastAsia" w:ascii="仿宋" w:hAnsi="仿宋" w:eastAsia="仿宋"/>
          <w:b/>
          <w:color w:val="auto"/>
          <w:sz w:val="28"/>
          <w:szCs w:val="28"/>
          <w:highlight w:val="none"/>
          <w:u w:val="single"/>
        </w:rPr>
        <w:t>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（2）</w:t>
      </w:r>
      <w:r>
        <w:rPr>
          <w:rFonts w:hint="eastAsia" w:ascii="仿宋" w:hAnsi="仿宋" w:eastAsia="仿宋" w:cs="Arial"/>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，并加盖单位公章并由法定代表人或其授权代表签署（签字或盖章），否则视为未提供；</w:t>
      </w:r>
    </w:p>
    <w:p>
      <w:pPr>
        <w:pStyle w:val="5"/>
        <w:rPr>
          <w:rFonts w:hint="eastAsia"/>
          <w:color w:val="auto"/>
          <w:highlight w:val="none"/>
        </w:rPr>
      </w:pPr>
      <w:bookmarkStart w:id="16" w:name="_Toc24550049"/>
      <w:bookmarkStart w:id="17" w:name="_Toc30408914"/>
    </w:p>
    <w:p>
      <w:pPr>
        <w:pStyle w:val="5"/>
        <w:rPr>
          <w:rFonts w:hint="eastAsia"/>
          <w:color w:val="auto"/>
          <w:highlight w:val="none"/>
        </w:rPr>
      </w:pPr>
    </w:p>
    <w:p>
      <w:pPr>
        <w:pStyle w:val="5"/>
        <w:rPr>
          <w:rFonts w:hint="eastAsia"/>
          <w:color w:val="auto"/>
          <w:highlight w:val="none"/>
        </w:rPr>
      </w:pPr>
    </w:p>
    <w:p>
      <w:pPr>
        <w:rPr>
          <w:rFonts w:hint="eastAsia"/>
          <w:color w:val="auto"/>
          <w:highlight w:val="none"/>
        </w:rPr>
      </w:pPr>
    </w:p>
    <w:p>
      <w:pPr>
        <w:pStyle w:val="19"/>
        <w:rPr>
          <w:rFonts w:hint="eastAsia"/>
          <w:color w:val="auto"/>
          <w:highlight w:val="none"/>
        </w:rPr>
      </w:pPr>
    </w:p>
    <w:p>
      <w:pPr>
        <w:rPr>
          <w:rFonts w:hint="eastAsia"/>
          <w:color w:val="auto"/>
          <w:highlight w:val="none"/>
        </w:rPr>
      </w:pPr>
    </w:p>
    <w:p>
      <w:pPr>
        <w:pStyle w:val="5"/>
        <w:rPr>
          <w:rFonts w:hint="eastAsia"/>
          <w:color w:val="auto"/>
          <w:highlight w:val="none"/>
        </w:rPr>
      </w:pPr>
    </w:p>
    <w:p>
      <w:pPr>
        <w:pStyle w:val="5"/>
        <w:rPr>
          <w:rFonts w:hint="eastAsia"/>
          <w:color w:val="auto"/>
          <w:highlight w:val="none"/>
        </w:rPr>
      </w:pPr>
    </w:p>
    <w:p>
      <w:pPr>
        <w:rPr>
          <w:rFonts w:hint="eastAsia"/>
          <w:color w:val="auto"/>
          <w:highlight w:val="none"/>
        </w:rPr>
      </w:pPr>
    </w:p>
    <w:p>
      <w:pPr>
        <w:pStyle w:val="3"/>
        <w:ind w:firstLine="210"/>
        <w:rPr>
          <w:rFonts w:hint="eastAsia"/>
          <w:color w:val="auto"/>
          <w:highlight w:val="none"/>
        </w:rPr>
      </w:pPr>
    </w:p>
    <w:p>
      <w:pPr>
        <w:pStyle w:val="4"/>
        <w:rPr>
          <w:rFonts w:hint="eastAsia"/>
          <w:color w:val="auto"/>
          <w:highlight w:val="none"/>
        </w:rPr>
      </w:pPr>
    </w:p>
    <w:p>
      <w:pPr>
        <w:pStyle w:val="5"/>
        <w:rPr>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bookmarkEnd w:id="16"/>
      <w:bookmarkEnd w:id="17"/>
    </w:p>
    <w:p>
      <w:pPr>
        <w:pStyle w:val="6"/>
        <w:rPr>
          <w:color w:val="auto"/>
          <w:highlight w:val="none"/>
        </w:rPr>
      </w:pPr>
      <w:r>
        <w:rPr>
          <w:rFonts w:hint="eastAsia"/>
          <w:color w:val="auto"/>
          <w:highlight w:val="none"/>
        </w:rPr>
        <w:t>1.1 “资格文件”封面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90"/>
          <w:sz w:val="220"/>
          <w:szCs w:val="22"/>
          <w:highlight w:val="none"/>
          <w:lang w:eastAsia="zh-CN"/>
        </w:rPr>
      </w:pPr>
      <w:r>
        <w:rPr>
          <w:rFonts w:hint="eastAsia" w:ascii="华文中宋" w:hAnsi="华文中宋" w:eastAsia="华文中宋" w:cs="Arial"/>
          <w:b/>
          <w:color w:val="auto"/>
          <w:w w:val="90"/>
          <w:sz w:val="44"/>
          <w:szCs w:val="22"/>
          <w:highlight w:val="none"/>
          <w:lang w:eastAsia="zh-CN"/>
        </w:rPr>
        <w:t>平阳县人民医院后勤综合管控系统项目</w:t>
      </w:r>
    </w:p>
    <w:p>
      <w:pPr>
        <w:spacing w:line="360" w:lineRule="auto"/>
        <w:jc w:val="center"/>
        <w:rPr>
          <w:rFonts w:hint="eastAsia" w:ascii="Arial" w:hAnsi="Arial" w:eastAsia="新宋体" w:cs="Arial"/>
          <w:b/>
          <w:color w:val="auto"/>
          <w:sz w:val="52"/>
          <w:szCs w:val="22"/>
          <w:highlight w:val="none"/>
        </w:rPr>
      </w:pP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hint="eastAsia"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（资格文件）</w:t>
      </w:r>
    </w:p>
    <w:tbl>
      <w:tblPr>
        <w:tblStyle w:val="21"/>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bl>
    <w:p>
      <w:pPr>
        <w:pStyle w:val="6"/>
        <w:rPr>
          <w:rFonts w:hint="eastAsia"/>
          <w:color w:val="auto"/>
          <w:highlight w:val="none"/>
        </w:rPr>
      </w:pPr>
      <w:r>
        <w:rPr>
          <w:rFonts w:ascii="Times New Roman" w:hAnsi="Times New Roman"/>
          <w:color w:val="auto"/>
          <w:highlight w:val="none"/>
        </w:rPr>
        <w:br w:type="page"/>
      </w:r>
      <w:r>
        <w:rPr>
          <w:rFonts w:hint="eastAsia"/>
          <w:color w:val="auto"/>
          <w:highlight w:val="none"/>
        </w:rPr>
        <w:t>1.</w:t>
      </w:r>
      <w:r>
        <w:rPr>
          <w:rFonts w:hint="eastAsia"/>
          <w:color w:val="auto"/>
          <w:highlight w:val="none"/>
          <w:lang w:val="en-US" w:eastAsia="zh-CN"/>
        </w:rPr>
        <w:t>3</w:t>
      </w:r>
      <w:r>
        <w:rPr>
          <w:rFonts w:hint="eastAsia"/>
          <w:color w:val="auto"/>
          <w:highlight w:val="none"/>
        </w:rPr>
        <w:t>供应商资格审查声明函</w:t>
      </w:r>
    </w:p>
    <w:p>
      <w:pPr>
        <w:jc w:val="center"/>
        <w:rPr>
          <w:rFonts w:hint="eastAsia" w:ascii="华文中宋" w:hAnsi="华文中宋" w:eastAsia="华文中宋"/>
          <w:b/>
          <w:color w:val="auto"/>
          <w:sz w:val="44"/>
          <w:szCs w:val="44"/>
          <w:highlight w:val="none"/>
        </w:rPr>
      </w:pPr>
    </w:p>
    <w:p>
      <w:pPr>
        <w:jc w:val="center"/>
        <w:rPr>
          <w:rFonts w:hint="eastAsia"/>
          <w:color w:val="auto"/>
          <w:highlight w:val="none"/>
        </w:rPr>
      </w:pPr>
      <w:r>
        <w:rPr>
          <w:rFonts w:hint="eastAsia" w:ascii="华文中宋" w:hAnsi="华文中宋" w:eastAsia="华文中宋"/>
          <w:b/>
          <w:color w:val="auto"/>
          <w:sz w:val="44"/>
          <w:szCs w:val="44"/>
          <w:highlight w:val="none"/>
        </w:rPr>
        <w:t>供应商资格审查声明函</w:t>
      </w:r>
    </w:p>
    <w:p>
      <w:pPr>
        <w:rPr>
          <w:rFonts w:hint="eastAsia"/>
          <w:color w:val="auto"/>
          <w:highlight w:val="none"/>
        </w:rPr>
      </w:pPr>
    </w:p>
    <w:p>
      <w:pPr>
        <w:spacing w:line="360" w:lineRule="auto"/>
        <w:rPr>
          <w:rFonts w:hint="eastAsia" w:ascii="仿宋" w:hAnsi="仿宋" w:eastAsia="仿宋" w:cs="Arial"/>
          <w:b/>
          <w:color w:val="auto"/>
          <w:w w:val="90"/>
          <w:sz w:val="28"/>
          <w:szCs w:val="22"/>
          <w:highlight w:val="none"/>
          <w:u w:val="single"/>
        </w:rPr>
      </w:pPr>
    </w:p>
    <w:p>
      <w:pPr>
        <w:spacing w:line="360" w:lineRule="auto"/>
        <w:rPr>
          <w:rFonts w:ascii="仿宋" w:hAnsi="仿宋" w:eastAsia="仿宋" w:cs="Arial"/>
          <w:b/>
          <w:color w:val="auto"/>
          <w:sz w:val="32"/>
          <w:szCs w:val="28"/>
          <w:highlight w:val="none"/>
          <w:u w:val="single"/>
        </w:rPr>
      </w:pPr>
      <w:r>
        <w:rPr>
          <w:rFonts w:hint="eastAsia" w:ascii="仿宋" w:hAnsi="仿宋" w:eastAsia="仿宋" w:cs="Arial"/>
          <w:b/>
          <w:color w:val="auto"/>
          <w:sz w:val="32"/>
          <w:szCs w:val="28"/>
          <w:highlight w:val="none"/>
          <w:u w:val="single"/>
        </w:rPr>
        <w:t>平阳县人民医院</w:t>
      </w:r>
      <w:r>
        <w:rPr>
          <w:rFonts w:hint="eastAsia" w:ascii="仿宋" w:hAnsi="仿宋" w:eastAsia="仿宋" w:cs="Arial"/>
          <w:b/>
          <w:color w:val="auto"/>
          <w:w w:val="90"/>
          <w:sz w:val="28"/>
          <w:szCs w:val="22"/>
          <w:highlight w:val="none"/>
          <w:u w:val="single"/>
        </w:rPr>
        <w:t>：</w:t>
      </w:r>
    </w:p>
    <w:p>
      <w:pPr>
        <w:spacing w:line="360" w:lineRule="auto"/>
        <w:rPr>
          <w:rFonts w:ascii="仿宋" w:hAnsi="仿宋" w:eastAsia="仿宋" w:cs="Arial"/>
          <w:color w:val="auto"/>
          <w:sz w:val="32"/>
          <w:szCs w:val="28"/>
          <w:highlight w:val="none"/>
        </w:rPr>
      </w:pPr>
    </w:p>
    <w:p>
      <w:pPr>
        <w:spacing w:line="360" w:lineRule="auto"/>
        <w:ind w:firstLine="560" w:firstLineChars="200"/>
        <w:rPr>
          <w:rFonts w:hint="eastAsia" w:ascii="仿宋" w:hAnsi="仿宋" w:eastAsia="仿宋" w:cs="Arial"/>
          <w:color w:val="auto"/>
          <w:sz w:val="28"/>
          <w:szCs w:val="22"/>
          <w:highlight w:val="none"/>
        </w:rPr>
      </w:pPr>
      <w:r>
        <w:rPr>
          <w:rFonts w:hint="eastAsia" w:ascii="仿宋" w:hAnsi="仿宋" w:eastAsia="仿宋" w:cs="Arial"/>
          <w:color w:val="auto"/>
          <w:sz w:val="28"/>
          <w:szCs w:val="22"/>
          <w:highlight w:val="none"/>
        </w:rPr>
        <w:t>我公司郑重声明，我公司参加</w:t>
      </w:r>
      <w:r>
        <w:rPr>
          <w:rFonts w:hint="eastAsia" w:ascii="仿宋" w:hAnsi="仿宋" w:eastAsia="仿宋" w:cs="Arial"/>
          <w:b/>
          <w:color w:val="auto"/>
          <w:sz w:val="28"/>
          <w:szCs w:val="22"/>
          <w:highlight w:val="none"/>
          <w:u w:val="single"/>
          <w:lang w:eastAsia="zh-CN"/>
        </w:rPr>
        <w:t>平阳县人民医院后勤综合管控系统项目</w:t>
      </w:r>
      <w:r>
        <w:rPr>
          <w:rFonts w:hint="eastAsia" w:ascii="仿宋" w:hAnsi="仿宋" w:eastAsia="仿宋" w:cs="Arial"/>
          <w:b/>
          <w:color w:val="auto"/>
          <w:sz w:val="28"/>
          <w:szCs w:val="22"/>
          <w:highlight w:val="none"/>
          <w:u w:val="single"/>
        </w:rPr>
        <w:t>（项目编号：     ）</w:t>
      </w:r>
      <w:r>
        <w:rPr>
          <w:rFonts w:hint="eastAsia" w:ascii="仿宋" w:hAnsi="仿宋" w:eastAsia="仿宋" w:cs="Arial"/>
          <w:color w:val="auto"/>
          <w:sz w:val="28"/>
          <w:szCs w:val="22"/>
          <w:highlight w:val="none"/>
        </w:rPr>
        <w:t>的政府采购活动中所提交的《资格文件》所有内容真实、有效，不存在提供虚假材料的行为。如有违反，愿承担一切责任。</w:t>
      </w:r>
    </w:p>
    <w:p>
      <w:pPr>
        <w:spacing w:line="360" w:lineRule="auto"/>
        <w:ind w:firstLine="560" w:firstLineChars="200"/>
        <w:rPr>
          <w:rFonts w:hint="eastAsia" w:ascii="仿宋" w:hAnsi="仿宋" w:eastAsia="仿宋" w:cs="Arial"/>
          <w:color w:val="auto"/>
          <w:sz w:val="28"/>
          <w:szCs w:val="22"/>
          <w:highlight w:val="none"/>
        </w:rPr>
      </w:pPr>
    </w:p>
    <w:p>
      <w:pPr>
        <w:spacing w:line="360" w:lineRule="auto"/>
        <w:ind w:firstLine="560" w:firstLineChars="200"/>
        <w:rPr>
          <w:rFonts w:ascii="仿宋" w:hAnsi="仿宋" w:eastAsia="仿宋" w:cs="Arial"/>
          <w:color w:val="auto"/>
          <w:sz w:val="22"/>
          <w:szCs w:val="22"/>
          <w:highlight w:val="none"/>
        </w:rPr>
      </w:pPr>
      <w:r>
        <w:rPr>
          <w:rFonts w:hint="eastAsia" w:ascii="仿宋" w:hAnsi="仿宋" w:eastAsia="仿宋" w:cs="Arial"/>
          <w:color w:val="auto"/>
          <w:sz w:val="28"/>
          <w:szCs w:val="22"/>
          <w:highlight w:val="none"/>
        </w:rPr>
        <w:t>特此声明！</w:t>
      </w:r>
    </w:p>
    <w:p>
      <w:pPr>
        <w:spacing w:line="360" w:lineRule="auto"/>
        <w:ind w:firstLine="480" w:firstLineChars="200"/>
        <w:rPr>
          <w:rFonts w:ascii="仿宋" w:hAnsi="仿宋" w:eastAsia="仿宋" w:cs="Arial"/>
          <w:color w:val="auto"/>
          <w:szCs w:val="22"/>
          <w:highlight w:val="none"/>
        </w:rPr>
      </w:pPr>
    </w:p>
    <w:p>
      <w:pPr>
        <w:spacing w:line="360" w:lineRule="auto"/>
        <w:ind w:firstLine="480" w:firstLineChars="200"/>
        <w:rPr>
          <w:rFonts w:ascii="仿宋" w:hAnsi="仿宋" w:eastAsia="仿宋" w:cs="Arial"/>
          <w:color w:val="auto"/>
          <w:szCs w:val="22"/>
          <w:highlight w:val="none"/>
        </w:rPr>
      </w:pPr>
    </w:p>
    <w:p>
      <w:pPr>
        <w:spacing w:line="360" w:lineRule="auto"/>
        <w:ind w:firstLine="480" w:firstLineChars="200"/>
        <w:rPr>
          <w:rFonts w:ascii="仿宋" w:hAnsi="仿宋" w:eastAsia="仿宋" w:cs="Arial"/>
          <w:color w:val="auto"/>
          <w:szCs w:val="22"/>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w:t>
      </w:r>
      <w:r>
        <w:rPr>
          <w:rFonts w:hint="eastAsia" w:ascii="仿宋" w:hAnsi="仿宋" w:eastAsia="仿宋" w:cs="Arial"/>
          <w:b/>
          <w:color w:val="auto"/>
          <w:sz w:val="28"/>
          <w:highlight w:val="none"/>
        </w:rPr>
        <w:t>名称（盖章）</w:t>
      </w:r>
      <w:r>
        <w:rPr>
          <w:rFonts w:hint="eastAsia" w:ascii="仿宋" w:hAnsi="仿宋" w:eastAsia="仿宋" w:cs="Arial"/>
          <w:color w:val="auto"/>
          <w:sz w:val="28"/>
          <w:szCs w:val="28"/>
          <w:highlight w:val="none"/>
        </w:rPr>
        <w:t>：</w:t>
      </w:r>
      <w:r>
        <w:rPr>
          <w:rFonts w:ascii="仿宋" w:hAnsi="仿宋" w:eastAsia="仿宋" w:cs="Arial"/>
          <w:color w:val="auto"/>
          <w:w w:val="90"/>
          <w:sz w:val="28"/>
          <w:szCs w:val="28"/>
          <w:highlight w:val="none"/>
        </w:rPr>
        <w:t>_________________________________________</w:t>
      </w: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法定代表人或其授权代表</w:t>
      </w:r>
      <w:r>
        <w:rPr>
          <w:rFonts w:hint="eastAsia" w:ascii="仿宋" w:hAnsi="仿宋" w:eastAsia="仿宋" w:cs="Arial"/>
          <w:b/>
          <w:color w:val="auto"/>
          <w:sz w:val="28"/>
          <w:highlight w:val="none"/>
        </w:rPr>
        <w:t>（签字或盖章）</w:t>
      </w:r>
      <w:r>
        <w:rPr>
          <w:rFonts w:hint="eastAsia" w:ascii="仿宋" w:hAnsi="仿宋" w:eastAsia="仿宋" w:cs="Arial"/>
          <w:color w:val="auto"/>
          <w:sz w:val="28"/>
          <w:szCs w:val="28"/>
          <w:highlight w:val="none"/>
        </w:rPr>
        <w:t>：</w:t>
      </w:r>
      <w:r>
        <w:rPr>
          <w:rFonts w:ascii="仿宋" w:hAnsi="仿宋" w:eastAsia="仿宋" w:cs="Arial"/>
          <w:color w:val="auto"/>
          <w:w w:val="90"/>
          <w:sz w:val="28"/>
          <w:szCs w:val="28"/>
          <w:highlight w:val="none"/>
        </w:rPr>
        <w:t>__________________________</w:t>
      </w:r>
    </w:p>
    <w:p>
      <w:pPr>
        <w:rPr>
          <w:rFonts w:hint="eastAsia" w:ascii="仿宋" w:hAnsi="仿宋" w:eastAsia="仿宋" w:cs="Arial"/>
          <w:b/>
          <w:color w:val="auto"/>
          <w:highlight w:val="non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rPr>
          <w:rFonts w:hint="eastAsia"/>
          <w:color w:val="auto"/>
          <w:highlight w:val="none"/>
        </w:rPr>
      </w:pPr>
    </w:p>
    <w:p>
      <w:pPr>
        <w:pStyle w:val="6"/>
        <w:rPr>
          <w:color w:val="auto"/>
          <w:highlight w:val="none"/>
        </w:rPr>
      </w:pPr>
      <w:r>
        <w:rPr>
          <w:color w:val="auto"/>
          <w:highlight w:val="none"/>
        </w:rPr>
        <w:br w:type="page"/>
      </w:r>
      <w:r>
        <w:rPr>
          <w:rFonts w:hint="eastAsia"/>
          <w:color w:val="auto"/>
          <w:highlight w:val="none"/>
        </w:rPr>
        <w:t>1.</w:t>
      </w:r>
      <w:r>
        <w:rPr>
          <w:rFonts w:hint="eastAsia"/>
          <w:color w:val="auto"/>
          <w:highlight w:val="none"/>
          <w:lang w:val="en-US" w:eastAsia="zh-CN"/>
        </w:rPr>
        <w:t>4</w:t>
      </w:r>
      <w:r>
        <w:rPr>
          <w:rFonts w:hint="eastAsia"/>
          <w:color w:val="auto"/>
          <w:highlight w:val="none"/>
        </w:rPr>
        <w:t>具有独立承担民事责任能力的证明材料</w:t>
      </w: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21"/>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noWrap w:val="0"/>
            <w:vAlign w:val="center"/>
          </w:tcPr>
          <w:p>
            <w:pPr>
              <w:spacing w:line="276" w:lineRule="auto"/>
              <w:rPr>
                <w:rFonts w:hint="eastAsia" w:ascii="仿宋" w:hAnsi="仿宋" w:eastAsia="仿宋"/>
                <w:b/>
                <w:color w:val="auto"/>
                <w:highlight w:val="none"/>
              </w:rPr>
            </w:pPr>
            <w:r>
              <w:rPr>
                <w:rFonts w:hint="eastAsia" w:ascii="仿宋" w:hAnsi="仿宋" w:eastAsia="仿宋" w:cs="Arial"/>
                <w:b/>
                <w:color w:val="auto"/>
                <w:highlight w:val="none"/>
              </w:rPr>
              <w:t>资格要求：</w:t>
            </w:r>
            <w:r>
              <w:rPr>
                <w:rFonts w:hint="eastAsia" w:ascii="仿宋" w:hAnsi="仿宋" w:eastAsia="仿宋"/>
                <w:b/>
                <w:color w:val="auto"/>
                <w:highlight w:val="none"/>
              </w:rPr>
              <w:t>具有独立承担民事责任能力</w:t>
            </w:r>
          </w:p>
          <w:p>
            <w:pPr>
              <w:spacing w:line="276" w:lineRule="auto"/>
              <w:rPr>
                <w:rFonts w:hint="eastAsia" w:ascii="仿宋" w:hAnsi="仿宋" w:eastAsia="仿宋"/>
                <w:b/>
                <w:color w:val="auto"/>
                <w:highlight w:val="none"/>
              </w:rPr>
            </w:pPr>
          </w:p>
          <w:p>
            <w:pPr>
              <w:spacing w:line="276" w:lineRule="auto"/>
              <w:rPr>
                <w:rFonts w:hint="eastAsia" w:ascii="仿宋" w:hAnsi="仿宋" w:eastAsia="仿宋"/>
                <w:color w:val="auto"/>
                <w:highlight w:val="none"/>
              </w:rPr>
            </w:pPr>
            <w:r>
              <w:rPr>
                <w:rFonts w:hint="eastAsia" w:ascii="仿宋" w:hAnsi="仿宋" w:eastAsia="仿宋"/>
                <w:b/>
                <w:color w:val="auto"/>
                <w:highlight w:val="none"/>
              </w:rPr>
              <w:t>证明材料：</w:t>
            </w:r>
            <w:r>
              <w:rPr>
                <w:rFonts w:hint="eastAsia" w:ascii="仿宋" w:hAnsi="仿宋" w:eastAsia="仿宋"/>
                <w:b/>
                <w:color w:val="auto"/>
                <w:highlight w:val="none"/>
                <w:u w:val="single"/>
              </w:rPr>
              <w:t>企业营业执照</w:t>
            </w:r>
            <w:r>
              <w:rPr>
                <w:rFonts w:hint="eastAsia" w:ascii="仿宋" w:hAnsi="仿宋" w:eastAsia="仿宋"/>
                <w:color w:val="auto"/>
                <w:highlight w:val="none"/>
              </w:rPr>
              <w:t>（提供</w:t>
            </w:r>
            <w:r>
              <w:rPr>
                <w:rFonts w:hint="eastAsia" w:ascii="仿宋" w:hAnsi="仿宋" w:eastAsia="仿宋" w:cs="Arial"/>
                <w:color w:val="auto"/>
                <w:highlight w:val="none"/>
              </w:rPr>
              <w:t>复制件</w:t>
            </w:r>
            <w:r>
              <w:rPr>
                <w:rFonts w:hint="eastAsia" w:ascii="仿宋" w:hAnsi="仿宋" w:eastAsia="仿宋"/>
                <w:color w:val="auto"/>
                <w:highlight w:val="none"/>
              </w:rPr>
              <w:t>加盖供应商公章）或</w:t>
            </w:r>
            <w:r>
              <w:rPr>
                <w:rFonts w:hint="eastAsia" w:ascii="仿宋" w:hAnsi="仿宋" w:eastAsia="仿宋"/>
                <w:b/>
                <w:color w:val="auto"/>
                <w:highlight w:val="none"/>
                <w:u w:val="single"/>
              </w:rPr>
              <w:t>供应商为依法允许经营的事业单位的，应提交事业单位法人证书</w:t>
            </w:r>
            <w:r>
              <w:rPr>
                <w:rFonts w:hint="eastAsia" w:ascii="仿宋" w:hAnsi="仿宋" w:eastAsia="仿宋"/>
                <w:color w:val="auto"/>
                <w:highlight w:val="none"/>
              </w:rPr>
              <w:t>（提供复制件加盖供应商公章）</w:t>
            </w:r>
          </w:p>
          <w:p>
            <w:pPr>
              <w:spacing w:line="276" w:lineRule="auto"/>
              <w:rPr>
                <w:rFonts w:hint="eastAsia" w:ascii="仿宋" w:hAnsi="仿宋" w:eastAsia="仿宋"/>
                <w:color w:val="auto"/>
                <w:highlight w:val="none"/>
              </w:rPr>
            </w:pPr>
          </w:p>
          <w:p>
            <w:pPr>
              <w:spacing w:line="360" w:lineRule="auto"/>
              <w:rPr>
                <w:rFonts w:ascii="仿宋" w:hAnsi="仿宋" w:eastAsia="仿宋" w:cs="Arial"/>
                <w:color w:val="auto"/>
                <w:highlight w:val="none"/>
              </w:rPr>
            </w:pPr>
            <w:r>
              <w:rPr>
                <w:rFonts w:hint="eastAsia" w:ascii="仿宋" w:hAnsi="仿宋" w:eastAsia="仿宋"/>
                <w:color w:val="auto"/>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highlight w:val="none"/>
              </w:rPr>
              <w:t>总公司（总机构）授权书或房产权证或其他有效财产证明材料（</w:t>
            </w:r>
            <w:r>
              <w:rPr>
                <w:rFonts w:hint="eastAsia" w:ascii="仿宋" w:hAnsi="仿宋" w:eastAsia="仿宋"/>
                <w:color w:val="auto"/>
                <w:highlight w:val="none"/>
              </w:rPr>
              <w:t>提供</w:t>
            </w:r>
            <w:r>
              <w:rPr>
                <w:rFonts w:hint="eastAsia" w:ascii="仿宋" w:hAnsi="仿宋" w:eastAsia="仿宋" w:cs="Arial"/>
                <w:color w:val="auto"/>
                <w:highlight w:val="none"/>
              </w:rPr>
              <w:t>复制件</w:t>
            </w:r>
            <w:r>
              <w:rPr>
                <w:rFonts w:hint="eastAsia" w:ascii="仿宋" w:hAnsi="仿宋" w:eastAsia="仿宋"/>
                <w:color w:val="auto"/>
                <w:highlight w:val="none"/>
              </w:rPr>
              <w:t>加盖供应商公章</w:t>
            </w:r>
            <w:r>
              <w:rPr>
                <w:rFonts w:hint="eastAsia" w:ascii="仿宋" w:hAnsi="仿宋" w:eastAsia="仿宋" w:cs="Arial"/>
                <w:color w:val="auto"/>
                <w:highlight w:val="none"/>
              </w:rPr>
              <w:t>）。</w:t>
            </w:r>
          </w:p>
        </w:tc>
      </w:tr>
    </w:tbl>
    <w:p>
      <w:pPr>
        <w:spacing w:line="360" w:lineRule="auto"/>
        <w:rPr>
          <w:rFonts w:ascii="Arial" w:hAnsi="Arial" w:eastAsia="新宋体" w:cs="Arial"/>
          <w:i/>
          <w:color w:val="auto"/>
          <w:sz w:val="22"/>
          <w:szCs w:val="22"/>
          <w:highlight w:val="none"/>
        </w:rPr>
      </w:pPr>
    </w:p>
    <w:p>
      <w:pPr>
        <w:pStyle w:val="6"/>
        <w:rPr>
          <w:color w:val="auto"/>
          <w:highlight w:val="none"/>
        </w:rPr>
      </w:pPr>
      <w:r>
        <w:rPr>
          <w:color w:val="auto"/>
          <w:highlight w:val="none"/>
        </w:rPr>
        <w:br w:type="page"/>
      </w:r>
      <w:r>
        <w:rPr>
          <w:rFonts w:hint="eastAsia"/>
          <w:color w:val="auto"/>
          <w:highlight w:val="none"/>
        </w:rPr>
        <w:t>1.</w:t>
      </w:r>
      <w:r>
        <w:rPr>
          <w:rFonts w:hint="eastAsia"/>
          <w:color w:val="auto"/>
          <w:highlight w:val="none"/>
          <w:lang w:val="en-US" w:eastAsia="zh-CN"/>
        </w:rPr>
        <w:t>5</w:t>
      </w:r>
      <w:r>
        <w:rPr>
          <w:rFonts w:hint="eastAsia"/>
          <w:color w:val="auto"/>
          <w:highlight w:val="none"/>
        </w:rPr>
        <w:t>具有良好的商业信誉和健全的财务会计制度的证明材料</w:t>
      </w:r>
    </w:p>
    <w:p>
      <w:pPr>
        <w:spacing w:line="360" w:lineRule="auto"/>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最近一年度财务报告</w:t>
      </w:r>
    </w:p>
    <w:tbl>
      <w:tblPr>
        <w:tblStyle w:val="21"/>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noWrap w:val="0"/>
            <w:vAlign w:val="center"/>
          </w:tcPr>
          <w:p>
            <w:pPr>
              <w:spacing w:line="360" w:lineRule="auto"/>
              <w:rPr>
                <w:rFonts w:hint="eastAsia" w:ascii="仿宋" w:hAnsi="仿宋" w:eastAsia="仿宋"/>
                <w:b/>
                <w:color w:val="auto"/>
                <w:highlight w:val="none"/>
              </w:rPr>
            </w:pPr>
            <w:r>
              <w:rPr>
                <w:rFonts w:hint="eastAsia" w:ascii="仿宋" w:hAnsi="仿宋" w:eastAsia="仿宋" w:cs="Arial"/>
                <w:b/>
                <w:color w:val="auto"/>
                <w:highlight w:val="none"/>
              </w:rPr>
              <w:t>资格要求：</w:t>
            </w:r>
            <w:r>
              <w:rPr>
                <w:rFonts w:hint="eastAsia" w:ascii="仿宋" w:hAnsi="仿宋" w:eastAsia="仿宋"/>
                <w:b/>
                <w:color w:val="auto"/>
                <w:highlight w:val="none"/>
              </w:rPr>
              <w:t>具有良好的商业信誉和健全的财务会计制度</w:t>
            </w:r>
          </w:p>
          <w:p>
            <w:pPr>
              <w:spacing w:line="360" w:lineRule="auto"/>
              <w:rPr>
                <w:rFonts w:hint="eastAsia" w:ascii="仿宋" w:hAnsi="仿宋" w:eastAsia="仿宋"/>
                <w:b/>
                <w:color w:val="auto"/>
                <w:highlight w:val="none"/>
              </w:rPr>
            </w:pPr>
          </w:p>
          <w:p>
            <w:pPr>
              <w:spacing w:line="360" w:lineRule="auto"/>
              <w:rPr>
                <w:rFonts w:hint="eastAsia" w:ascii="仿宋" w:hAnsi="仿宋" w:eastAsia="仿宋"/>
                <w:b/>
                <w:color w:val="auto"/>
                <w:highlight w:val="none"/>
                <w:u w:val="single"/>
              </w:rPr>
            </w:pPr>
            <w:r>
              <w:rPr>
                <w:rFonts w:hint="eastAsia" w:ascii="仿宋" w:hAnsi="仿宋" w:eastAsia="仿宋"/>
                <w:b/>
                <w:color w:val="auto"/>
                <w:highlight w:val="none"/>
              </w:rPr>
              <w:t>证明材料：最近一年度财务报告（或审计机构审计的财务会计报表，包括资产负债表、现金流量表、利润表和财务情况说明书的复印件或银行资信证明。）</w:t>
            </w:r>
          </w:p>
          <w:p>
            <w:pPr>
              <w:spacing w:line="360" w:lineRule="auto"/>
              <w:rPr>
                <w:rFonts w:hint="eastAsia" w:ascii="仿宋" w:hAnsi="仿宋" w:eastAsia="仿宋" w:cs="Arial"/>
                <w:b/>
                <w:i/>
                <w:color w:val="auto"/>
                <w:highlight w:val="none"/>
              </w:rPr>
            </w:pPr>
            <w:r>
              <w:rPr>
                <w:rFonts w:hint="eastAsia" w:ascii="仿宋" w:hAnsi="仿宋" w:eastAsia="仿宋"/>
                <w:color w:val="auto"/>
                <w:highlight w:val="none"/>
              </w:rPr>
              <w:t>（供应商成立时间未满一年的可以不提供，提供</w:t>
            </w:r>
            <w:r>
              <w:rPr>
                <w:rFonts w:hint="eastAsia" w:ascii="仿宋" w:hAnsi="仿宋" w:eastAsia="仿宋" w:cs="Arial"/>
                <w:color w:val="auto"/>
                <w:highlight w:val="none"/>
              </w:rPr>
              <w:t>复制件</w:t>
            </w:r>
            <w:r>
              <w:rPr>
                <w:rFonts w:hint="eastAsia" w:ascii="仿宋" w:hAnsi="仿宋" w:eastAsia="仿宋"/>
                <w:color w:val="auto"/>
                <w:highlight w:val="none"/>
              </w:rPr>
              <w:t>加盖供应商公章）</w:t>
            </w:r>
          </w:p>
          <w:p>
            <w:pPr>
              <w:spacing w:line="360" w:lineRule="auto"/>
              <w:jc w:val="center"/>
              <w:rPr>
                <w:rFonts w:ascii="仿宋" w:hAnsi="仿宋" w:eastAsia="仿宋" w:cs="Arial"/>
                <w:b/>
                <w:i/>
                <w:color w:val="auto"/>
                <w:szCs w:val="21"/>
                <w:highlight w:val="none"/>
              </w:rPr>
            </w:pPr>
          </w:p>
        </w:tc>
      </w:tr>
    </w:tbl>
    <w:p>
      <w:pPr>
        <w:rPr>
          <w:rFonts w:hint="eastAsia"/>
          <w:color w:val="auto"/>
          <w:highlight w:val="none"/>
        </w:rPr>
      </w:pPr>
    </w:p>
    <w:p>
      <w:pPr>
        <w:pStyle w:val="6"/>
        <w:rPr>
          <w:color w:val="auto"/>
          <w:highlight w:val="none"/>
        </w:rPr>
      </w:pPr>
      <w:r>
        <w:rPr>
          <w:rFonts w:ascii="Arial" w:hAnsi="新宋体" w:eastAsia="新宋体"/>
          <w:color w:val="auto"/>
          <w:sz w:val="22"/>
          <w:szCs w:val="22"/>
          <w:highlight w:val="none"/>
        </w:rPr>
        <w:br w:type="page"/>
      </w:r>
      <w:r>
        <w:rPr>
          <w:rFonts w:hint="eastAsia"/>
          <w:color w:val="auto"/>
          <w:highlight w:val="none"/>
        </w:rPr>
        <w:t>1.</w:t>
      </w:r>
      <w:r>
        <w:rPr>
          <w:rFonts w:hint="eastAsia"/>
          <w:color w:val="auto"/>
          <w:highlight w:val="none"/>
          <w:lang w:val="en-US" w:eastAsia="zh-CN"/>
        </w:rPr>
        <w:t>6</w:t>
      </w:r>
      <w:r>
        <w:rPr>
          <w:rFonts w:hint="eastAsia"/>
          <w:color w:val="auto"/>
          <w:highlight w:val="none"/>
        </w:rPr>
        <w:t>具有履行合同所必需的设备和专业技术能力的承诺函：</w:t>
      </w:r>
      <w:r>
        <w:rPr>
          <w:color w:val="auto"/>
          <w:highlight w:val="none"/>
        </w:rPr>
        <w:t xml:space="preserve"> </w:t>
      </w:r>
    </w:p>
    <w:p>
      <w:pPr>
        <w:spacing w:line="360" w:lineRule="auto"/>
        <w:rPr>
          <w:color w:val="auto"/>
          <w:highlight w:val="none"/>
        </w:rPr>
      </w:pPr>
    </w:p>
    <w:p>
      <w:pPr>
        <w:spacing w:line="360" w:lineRule="auto"/>
        <w:jc w:val="center"/>
        <w:rPr>
          <w:rFonts w:ascii="华文中宋" w:hAnsi="华文中宋" w:eastAsia="华文中宋" w:cs="Arial"/>
          <w:b/>
          <w:color w:val="auto"/>
          <w:w w:val="80"/>
          <w:sz w:val="44"/>
          <w:szCs w:val="44"/>
          <w:highlight w:val="none"/>
        </w:rPr>
      </w:pPr>
      <w:r>
        <w:rPr>
          <w:rFonts w:hint="eastAsia" w:ascii="华文中宋" w:hAnsi="华文中宋" w:eastAsia="华文中宋" w:cs="Arial"/>
          <w:b/>
          <w:color w:val="auto"/>
          <w:w w:val="80"/>
          <w:sz w:val="40"/>
          <w:szCs w:val="40"/>
          <w:highlight w:val="none"/>
        </w:rPr>
        <w:t>供应商具有履行合同所必需的设备和专业技术能力的承诺函</w:t>
      </w:r>
    </w:p>
    <w:p>
      <w:pPr>
        <w:spacing w:line="360" w:lineRule="auto"/>
        <w:rPr>
          <w:rFonts w:ascii="华文中宋" w:hAnsi="华文中宋" w:eastAsia="华文中宋" w:cs="Arial"/>
          <w:b/>
          <w:color w:val="auto"/>
          <w:szCs w:val="28"/>
          <w:highlight w:val="none"/>
          <w:u w:val="single"/>
        </w:rPr>
      </w:pPr>
    </w:p>
    <w:p>
      <w:pPr>
        <w:spacing w:line="360" w:lineRule="auto"/>
        <w:rPr>
          <w:rFonts w:ascii="仿宋" w:hAnsi="仿宋" w:eastAsia="仿宋" w:cs="Arial"/>
          <w:b/>
          <w:color w:val="auto"/>
          <w:sz w:val="28"/>
          <w:szCs w:val="28"/>
          <w:highlight w:val="none"/>
          <w:u w:val="single"/>
        </w:rPr>
      </w:pPr>
      <w:r>
        <w:rPr>
          <w:rFonts w:hint="eastAsia" w:ascii="仿宋" w:hAnsi="仿宋" w:eastAsia="仿宋" w:cs="Arial"/>
          <w:b/>
          <w:color w:val="auto"/>
          <w:w w:val="90"/>
          <w:sz w:val="28"/>
          <w:szCs w:val="22"/>
          <w:highlight w:val="none"/>
          <w:u w:val="single"/>
        </w:rPr>
        <w:t>平阳县人民医院：</w:t>
      </w:r>
    </w:p>
    <w:p>
      <w:pPr>
        <w:spacing w:line="360" w:lineRule="auto"/>
        <w:rPr>
          <w:rFonts w:ascii="仿宋" w:hAnsi="仿宋" w:eastAsia="仿宋" w:cs="Arial"/>
          <w:color w:val="auto"/>
          <w:sz w:val="28"/>
          <w:szCs w:val="28"/>
          <w:highlight w:val="none"/>
        </w:rPr>
      </w:pPr>
    </w:p>
    <w:p>
      <w:pPr>
        <w:spacing w:line="360" w:lineRule="auto"/>
        <w:ind w:firstLine="560" w:firstLineChars="200"/>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我方郑重声明，我方具有履行</w:t>
      </w:r>
      <w:r>
        <w:rPr>
          <w:rFonts w:hint="eastAsia" w:ascii="仿宋" w:hAnsi="仿宋" w:eastAsia="仿宋" w:cs="Arial"/>
          <w:b/>
          <w:color w:val="auto"/>
          <w:sz w:val="28"/>
          <w:szCs w:val="28"/>
          <w:highlight w:val="none"/>
          <w:u w:val="single"/>
          <w:lang w:eastAsia="zh-CN"/>
        </w:rPr>
        <w:t>平阳县人民医院后勤综合管控系统项目</w:t>
      </w:r>
      <w:r>
        <w:rPr>
          <w:rFonts w:hint="eastAsia" w:ascii="仿宋" w:hAnsi="仿宋" w:eastAsia="仿宋" w:cs="Arial"/>
          <w:b/>
          <w:color w:val="auto"/>
          <w:sz w:val="28"/>
          <w:szCs w:val="28"/>
          <w:highlight w:val="none"/>
          <w:u w:val="single"/>
        </w:rPr>
        <w:t>（项目编号：    ）</w:t>
      </w:r>
      <w:r>
        <w:rPr>
          <w:rFonts w:hint="eastAsia" w:ascii="仿宋" w:hAnsi="仿宋" w:eastAsia="仿宋" w:cs="Arial"/>
          <w:color w:val="auto"/>
          <w:sz w:val="28"/>
          <w:szCs w:val="28"/>
          <w:highlight w:val="none"/>
        </w:rPr>
        <w:t>合同所必需的设备和专业技术能力，如中标，我方将按我方响应文件承诺，保证合同顺利履行。如有虚假或隐瞒，愿意承担一切后果。</w:t>
      </w:r>
    </w:p>
    <w:p>
      <w:pPr>
        <w:spacing w:line="360" w:lineRule="auto"/>
        <w:ind w:firstLine="560" w:firstLineChars="200"/>
        <w:rPr>
          <w:rFonts w:hint="eastAsia"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特此承诺</w:t>
      </w: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供应商名称（盖章）：</w:t>
      </w:r>
      <w:r>
        <w:rPr>
          <w:rFonts w:ascii="仿宋" w:hAnsi="仿宋" w:eastAsia="仿宋" w:cs="Arial"/>
          <w:color w:val="auto"/>
          <w:w w:val="90"/>
          <w:sz w:val="28"/>
          <w:szCs w:val="28"/>
          <w:highlight w:val="none"/>
        </w:rPr>
        <w:t>__________________________________________</w:t>
      </w:r>
    </w:p>
    <w:p>
      <w:pPr>
        <w:snapToGrid w:val="0"/>
        <w:spacing w:line="360" w:lineRule="auto"/>
        <w:rPr>
          <w:rFonts w:hint="eastAsia" w:ascii="仿宋" w:hAnsi="仿宋" w:eastAsia="仿宋" w:cs="Arial"/>
          <w:color w:val="auto"/>
          <w:sz w:val="28"/>
          <w:szCs w:val="28"/>
          <w:highlight w:val="none"/>
          <w:u w:val="single"/>
        </w:rPr>
      </w:pPr>
      <w:r>
        <w:rPr>
          <w:rFonts w:hint="eastAsia" w:ascii="仿宋" w:hAnsi="仿宋" w:eastAsia="仿宋" w:cs="Arial"/>
          <w:color w:val="auto"/>
          <w:sz w:val="28"/>
          <w:szCs w:val="28"/>
          <w:highlight w:val="none"/>
        </w:rPr>
        <w:t>法定代表人或其授权代表（签字或盖章）：</w:t>
      </w:r>
      <w:r>
        <w:rPr>
          <w:rFonts w:ascii="仿宋" w:hAnsi="仿宋" w:eastAsia="仿宋" w:cs="Arial"/>
          <w:color w:val="auto"/>
          <w:w w:val="90"/>
          <w:sz w:val="28"/>
          <w:szCs w:val="28"/>
          <w:highlight w:val="none"/>
        </w:rPr>
        <w:t>___________________________</w:t>
      </w:r>
    </w:p>
    <w:p>
      <w:pPr>
        <w:snapToGrid w:val="0"/>
        <w:spacing w:line="360" w:lineRule="auto"/>
        <w:rPr>
          <w:rFonts w:hint="eastAsia" w:ascii="Arial" w:hAnsi="Arial" w:cs="Arial"/>
          <w:color w:val="auto"/>
          <w:sz w:val="22"/>
          <w:szCs w:val="22"/>
          <w:highlight w:val="none"/>
          <w:u w:val="singl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snapToGrid w:val="0"/>
        <w:spacing w:line="360" w:lineRule="auto"/>
        <w:rPr>
          <w:rFonts w:hint="eastAsia" w:ascii="Arial" w:hAnsi="Arial" w:cs="Arial"/>
          <w:color w:val="auto"/>
          <w:sz w:val="22"/>
          <w:szCs w:val="22"/>
          <w:highlight w:val="none"/>
          <w:u w:val="single"/>
        </w:rPr>
      </w:pPr>
    </w:p>
    <w:p>
      <w:pPr>
        <w:snapToGrid w:val="0"/>
        <w:spacing w:line="360" w:lineRule="auto"/>
        <w:rPr>
          <w:rFonts w:hint="eastAsia" w:ascii="Arial" w:hAnsi="Arial" w:cs="Arial"/>
          <w:color w:val="auto"/>
          <w:sz w:val="22"/>
          <w:szCs w:val="22"/>
          <w:highlight w:val="none"/>
          <w:u w:val="single"/>
        </w:rPr>
      </w:pPr>
    </w:p>
    <w:p>
      <w:pPr>
        <w:pStyle w:val="6"/>
        <w:rPr>
          <w:color w:val="auto"/>
          <w:highlight w:val="none"/>
        </w:rPr>
      </w:pPr>
      <w:r>
        <w:rPr>
          <w:rFonts w:ascii="Arial" w:hAnsi="Arial"/>
          <w:color w:val="auto"/>
          <w:sz w:val="22"/>
          <w:szCs w:val="22"/>
          <w:highlight w:val="none"/>
          <w:u w:val="single"/>
        </w:rPr>
        <w:br w:type="page"/>
      </w:r>
      <w:r>
        <w:rPr>
          <w:rFonts w:hint="eastAsia"/>
          <w:color w:val="auto"/>
          <w:highlight w:val="none"/>
        </w:rPr>
        <w:t>1.</w:t>
      </w:r>
      <w:r>
        <w:rPr>
          <w:rFonts w:hint="eastAsia"/>
          <w:color w:val="auto"/>
          <w:highlight w:val="none"/>
          <w:lang w:val="en-US" w:eastAsia="zh-CN"/>
        </w:rPr>
        <w:t>7</w:t>
      </w:r>
      <w:r>
        <w:rPr>
          <w:rFonts w:hint="eastAsia"/>
          <w:color w:val="auto"/>
          <w:highlight w:val="none"/>
        </w:rPr>
        <w:t>有依法缴纳税收和社会保障金的良好记录的证明材料</w:t>
      </w:r>
    </w:p>
    <w:p>
      <w:pPr>
        <w:spacing w:line="360" w:lineRule="auto"/>
        <w:jc w:val="center"/>
        <w:rPr>
          <w:rFonts w:ascii="华文中宋" w:hAnsi="华文中宋" w:eastAsia="华文中宋" w:cs="Arial"/>
          <w:b/>
          <w:color w:val="auto"/>
          <w:w w:val="80"/>
          <w:sz w:val="44"/>
          <w:szCs w:val="44"/>
          <w:highlight w:val="none"/>
        </w:rPr>
      </w:pPr>
    </w:p>
    <w:p>
      <w:pPr>
        <w:snapToGrid w:val="0"/>
        <w:spacing w:line="360" w:lineRule="auto"/>
        <w:ind w:firstLine="440" w:firstLineChars="20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缴纳税收证明资料（提供下列之一证明材料）：</w:t>
      </w:r>
    </w:p>
    <w:p>
      <w:pPr>
        <w:autoSpaceDE w:val="0"/>
        <w:autoSpaceDN w:val="0"/>
        <w:adjustRightInd w:val="0"/>
        <w:snapToGrid w:val="0"/>
        <w:spacing w:line="430" w:lineRule="atLeast"/>
        <w:ind w:firstLine="440" w:firstLineChars="20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pStyle w:val="9"/>
        <w:ind w:left="480"/>
        <w:rPr>
          <w:rFonts w:hint="eastAsia"/>
          <w:color w:val="auto"/>
          <w:sz w:val="22"/>
          <w:szCs w:val="22"/>
          <w:highlight w:val="none"/>
        </w:rPr>
      </w:pPr>
    </w:p>
    <w:p>
      <w:pPr>
        <w:snapToGrid w:val="0"/>
        <w:spacing w:line="360" w:lineRule="auto"/>
        <w:ind w:firstLine="440" w:firstLineChars="20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4.2缴纳社会保险证明资料（提供下列之一证明材料）：</w:t>
      </w:r>
    </w:p>
    <w:p>
      <w:pPr>
        <w:spacing w:line="360" w:lineRule="auto"/>
        <w:ind w:firstLine="440" w:firstLineChars="200"/>
        <w:rPr>
          <w:rFonts w:ascii="仿宋" w:hAnsi="仿宋" w:eastAsia="仿宋" w:cs="Arial"/>
          <w:color w:val="auto"/>
          <w:sz w:val="22"/>
          <w:szCs w:val="22"/>
          <w:highlight w:val="none"/>
        </w:rPr>
      </w:pPr>
      <w:r>
        <w:rPr>
          <w:rFonts w:hint="eastAsia" w:ascii="仿宋" w:hAnsi="仿宋" w:eastAsia="仿宋" w:cs="仿宋"/>
          <w:color w:val="auto"/>
          <w:sz w:val="22"/>
          <w:szCs w:val="22"/>
          <w:highlight w:val="none"/>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（提供复制件加盖供应商公章）</w:t>
      </w:r>
    </w:p>
    <w:p>
      <w:pPr>
        <w:pStyle w:val="6"/>
        <w:rPr>
          <w:color w:val="auto"/>
          <w:highlight w:val="none"/>
        </w:rPr>
      </w:pPr>
      <w:r>
        <w:rPr>
          <w:rFonts w:ascii="仿宋" w:hAnsi="仿宋" w:eastAsia="仿宋" w:cs="Arial"/>
          <w:color w:val="auto"/>
          <w:sz w:val="28"/>
          <w:szCs w:val="28"/>
          <w:highlight w:val="none"/>
        </w:rPr>
        <w:br w:type="page"/>
      </w:r>
      <w:r>
        <w:rPr>
          <w:rFonts w:hint="eastAsia"/>
          <w:color w:val="auto"/>
          <w:highlight w:val="none"/>
        </w:rPr>
        <w:t>1.</w:t>
      </w:r>
      <w:r>
        <w:rPr>
          <w:rFonts w:hint="eastAsia"/>
          <w:color w:val="auto"/>
          <w:highlight w:val="none"/>
          <w:lang w:val="en-US" w:eastAsia="zh-CN"/>
        </w:rPr>
        <w:t>8</w:t>
      </w:r>
      <w:r>
        <w:rPr>
          <w:rFonts w:hint="eastAsia"/>
          <w:color w:val="auto"/>
          <w:highlight w:val="none"/>
        </w:rPr>
        <w:t>参加本次采购活动前三年内在经营活动中没有重大违法记录的承诺函：</w:t>
      </w:r>
    </w:p>
    <w:p>
      <w:pPr>
        <w:ind w:firstLine="389"/>
        <w:rPr>
          <w:color w:val="auto"/>
          <w:highlight w:val="none"/>
        </w:rPr>
      </w:pPr>
    </w:p>
    <w:p>
      <w:pPr>
        <w:spacing w:line="360" w:lineRule="auto"/>
        <w:jc w:val="center"/>
        <w:rPr>
          <w:rFonts w:hint="eastAsia" w:ascii="华文中宋" w:hAnsi="华文中宋" w:eastAsia="华文中宋" w:cs="Arial"/>
          <w:b/>
          <w:color w:val="auto"/>
          <w:w w:val="80"/>
          <w:sz w:val="44"/>
          <w:szCs w:val="44"/>
          <w:highlight w:val="none"/>
        </w:rPr>
      </w:pPr>
      <w:r>
        <w:rPr>
          <w:rFonts w:hint="eastAsia" w:ascii="华文中宋" w:hAnsi="华文中宋" w:eastAsia="华文中宋" w:cs="Arial"/>
          <w:b/>
          <w:color w:val="auto"/>
          <w:w w:val="80"/>
          <w:sz w:val="44"/>
          <w:szCs w:val="44"/>
          <w:highlight w:val="none"/>
        </w:rPr>
        <w:t>供应商参加本次政府采购项目前三年内在经营活动中没有重大违法记录的承诺函</w:t>
      </w:r>
    </w:p>
    <w:p>
      <w:pPr>
        <w:spacing w:line="360" w:lineRule="auto"/>
        <w:jc w:val="center"/>
        <w:rPr>
          <w:rFonts w:ascii="华文中宋" w:hAnsi="华文中宋" w:eastAsia="华文中宋" w:cs="Arial"/>
          <w:b/>
          <w:color w:val="auto"/>
          <w:w w:val="80"/>
          <w:sz w:val="28"/>
          <w:szCs w:val="44"/>
          <w:highlight w:val="none"/>
        </w:rPr>
      </w:pPr>
    </w:p>
    <w:p>
      <w:pPr>
        <w:spacing w:line="360" w:lineRule="auto"/>
        <w:rPr>
          <w:rFonts w:hint="eastAsia" w:ascii="仿宋" w:hAnsi="仿宋" w:eastAsia="仿宋" w:cs="Arial"/>
          <w:b/>
          <w:color w:val="auto"/>
          <w:w w:val="90"/>
          <w:sz w:val="28"/>
          <w:szCs w:val="22"/>
          <w:highlight w:val="none"/>
          <w:u w:val="single"/>
        </w:rPr>
      </w:pPr>
      <w:r>
        <w:rPr>
          <w:rFonts w:hint="eastAsia" w:ascii="仿宋" w:hAnsi="仿宋" w:eastAsia="仿宋" w:cs="Arial"/>
          <w:b/>
          <w:color w:val="auto"/>
          <w:w w:val="90"/>
          <w:sz w:val="28"/>
          <w:szCs w:val="22"/>
          <w:highlight w:val="none"/>
          <w:u w:val="single"/>
        </w:rPr>
        <w:t>平阳县人民医院：</w:t>
      </w:r>
    </w:p>
    <w:p>
      <w:pPr>
        <w:spacing w:line="360" w:lineRule="auto"/>
        <w:rPr>
          <w:rFonts w:ascii="仿宋" w:hAnsi="仿宋" w:eastAsia="仿宋" w:cs="Arial"/>
          <w:color w:val="auto"/>
          <w:sz w:val="28"/>
          <w:szCs w:val="28"/>
          <w:highlight w:val="none"/>
          <w:u w:val="single"/>
        </w:rPr>
      </w:pPr>
    </w:p>
    <w:p>
      <w:pPr>
        <w:spacing w:line="360" w:lineRule="auto"/>
        <w:ind w:firstLine="548" w:firstLineChars="196"/>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我方</w:t>
      </w:r>
      <w:r>
        <w:rPr>
          <w:rFonts w:ascii="仿宋" w:hAnsi="仿宋" w:eastAsia="仿宋" w:cs="Arial"/>
          <w:color w:val="auto"/>
          <w:sz w:val="28"/>
          <w:szCs w:val="28"/>
          <w:highlight w:val="none"/>
          <w:u w:val="single"/>
        </w:rPr>
        <w:t xml:space="preserve">        </w:t>
      </w:r>
      <w:r>
        <w:rPr>
          <w:rFonts w:hint="eastAsia" w:ascii="仿宋" w:hAnsi="仿宋" w:eastAsia="仿宋" w:cs="Arial"/>
          <w:color w:val="auto"/>
          <w:sz w:val="28"/>
          <w:szCs w:val="28"/>
          <w:highlight w:val="none"/>
          <w:u w:val="single"/>
        </w:rPr>
        <w:t>（供应商名称）</w:t>
      </w:r>
      <w:r>
        <w:rPr>
          <w:rFonts w:ascii="仿宋" w:hAnsi="仿宋" w:eastAsia="仿宋" w:cs="Arial"/>
          <w:color w:val="auto"/>
          <w:sz w:val="28"/>
          <w:szCs w:val="28"/>
          <w:highlight w:val="none"/>
          <w:u w:val="single"/>
        </w:rPr>
        <w:t xml:space="preserve">             </w:t>
      </w:r>
      <w:r>
        <w:rPr>
          <w:rFonts w:hint="eastAsia" w:ascii="仿宋" w:hAnsi="仿宋" w:eastAsia="仿宋" w:cs="Arial"/>
          <w:color w:val="auto"/>
          <w:sz w:val="28"/>
          <w:szCs w:val="28"/>
          <w:highlight w:val="none"/>
        </w:rPr>
        <w:t>在参加</w:t>
      </w:r>
      <w:r>
        <w:rPr>
          <w:rFonts w:hint="eastAsia" w:ascii="仿宋" w:hAnsi="仿宋" w:eastAsia="仿宋" w:cs="Arial"/>
          <w:b/>
          <w:color w:val="auto"/>
          <w:sz w:val="28"/>
          <w:szCs w:val="28"/>
          <w:highlight w:val="none"/>
          <w:u w:val="single"/>
          <w:lang w:eastAsia="zh-CN"/>
        </w:rPr>
        <w:t xml:space="preserve">平阳县人民医院后勤综合管控系统项目 </w:t>
      </w:r>
      <w:r>
        <w:rPr>
          <w:rFonts w:hint="eastAsia" w:ascii="仿宋" w:hAnsi="仿宋" w:eastAsia="仿宋" w:cs="Arial"/>
          <w:b/>
          <w:color w:val="auto"/>
          <w:sz w:val="28"/>
          <w:szCs w:val="28"/>
          <w:highlight w:val="none"/>
          <w:u w:val="single"/>
        </w:rPr>
        <w:t>（项目编号：    ）</w:t>
      </w:r>
      <w:r>
        <w:rPr>
          <w:rFonts w:hint="eastAsia" w:ascii="仿宋" w:hAnsi="仿宋" w:eastAsia="仿宋" w:cs="Arial"/>
          <w:color w:val="auto"/>
          <w:sz w:val="28"/>
          <w:szCs w:val="28"/>
          <w:highlight w:val="none"/>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color w:val="auto"/>
          <w:sz w:val="28"/>
          <w:szCs w:val="28"/>
          <w:highlight w:val="none"/>
        </w:rPr>
        <w:t>/</w:t>
      </w:r>
      <w:r>
        <w:rPr>
          <w:rFonts w:hint="eastAsia" w:ascii="仿宋" w:hAnsi="仿宋" w:eastAsia="仿宋" w:cs="Arial"/>
          <w:color w:val="auto"/>
          <w:sz w:val="28"/>
          <w:szCs w:val="28"/>
          <w:highlight w:val="none"/>
        </w:rPr>
        <w:t>谈判</w:t>
      </w:r>
      <w:r>
        <w:rPr>
          <w:rFonts w:ascii="仿宋" w:hAnsi="仿宋" w:eastAsia="仿宋" w:cs="Arial"/>
          <w:color w:val="auto"/>
          <w:sz w:val="28"/>
          <w:szCs w:val="28"/>
          <w:highlight w:val="none"/>
        </w:rPr>
        <w:t>/</w:t>
      </w:r>
      <w:r>
        <w:rPr>
          <w:rFonts w:hint="eastAsia" w:ascii="仿宋" w:hAnsi="仿宋" w:eastAsia="仿宋" w:cs="Arial"/>
          <w:color w:val="auto"/>
          <w:sz w:val="28"/>
          <w:szCs w:val="28"/>
          <w:highlight w:val="none"/>
        </w:rPr>
        <w:t>中标（成交）</w:t>
      </w:r>
      <w:r>
        <w:rPr>
          <w:rFonts w:ascii="仿宋" w:hAnsi="仿宋" w:eastAsia="仿宋" w:cs="Arial"/>
          <w:color w:val="auto"/>
          <w:sz w:val="28"/>
          <w:szCs w:val="28"/>
          <w:highlight w:val="none"/>
        </w:rPr>
        <w:t>/</w:t>
      </w:r>
      <w:r>
        <w:rPr>
          <w:rFonts w:hint="eastAsia" w:ascii="仿宋" w:hAnsi="仿宋" w:eastAsia="仿宋" w:cs="Arial"/>
          <w:color w:val="auto"/>
          <w:sz w:val="28"/>
          <w:szCs w:val="28"/>
          <w:highlight w:val="none"/>
        </w:rPr>
        <w:t>签订合同），我方对此无任何异议，并愿意承担一切后果和责任。</w:t>
      </w:r>
    </w:p>
    <w:p>
      <w:pPr>
        <w:spacing w:line="360" w:lineRule="auto"/>
        <w:ind w:firstLine="560" w:firstLineChars="200"/>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特此声明</w:t>
      </w:r>
    </w:p>
    <w:p>
      <w:pPr>
        <w:spacing w:line="360" w:lineRule="auto"/>
        <w:ind w:firstLine="560" w:firstLineChars="200"/>
        <w:rPr>
          <w:rFonts w:ascii="仿宋" w:hAnsi="仿宋" w:eastAsia="仿宋" w:cs="Arial"/>
          <w:color w:val="auto"/>
          <w:sz w:val="28"/>
          <w:szCs w:val="28"/>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供应商名称（盖章）：</w:t>
      </w:r>
      <w:r>
        <w:rPr>
          <w:rFonts w:ascii="仿宋" w:hAnsi="仿宋" w:eastAsia="仿宋" w:cs="Arial"/>
          <w:color w:val="auto"/>
          <w:w w:val="90"/>
          <w:sz w:val="28"/>
          <w:szCs w:val="28"/>
          <w:highlight w:val="none"/>
        </w:rPr>
        <w:t>__________________________________________</w:t>
      </w:r>
    </w:p>
    <w:p>
      <w:pPr>
        <w:snapToGrid w:val="0"/>
        <w:spacing w:line="360" w:lineRule="auto"/>
        <w:rPr>
          <w:rFonts w:hint="eastAsia" w:ascii="仿宋" w:hAnsi="仿宋" w:eastAsia="仿宋" w:cs="Arial"/>
          <w:color w:val="auto"/>
          <w:sz w:val="28"/>
          <w:szCs w:val="28"/>
          <w:highlight w:val="none"/>
          <w:u w:val="single"/>
        </w:rPr>
      </w:pPr>
      <w:r>
        <w:rPr>
          <w:rFonts w:hint="eastAsia" w:ascii="仿宋" w:hAnsi="仿宋" w:eastAsia="仿宋" w:cs="Arial"/>
          <w:color w:val="auto"/>
          <w:sz w:val="28"/>
          <w:szCs w:val="28"/>
          <w:highlight w:val="none"/>
        </w:rPr>
        <w:t>法定代表人或其授权代表（签字或盖章）：</w:t>
      </w:r>
      <w:r>
        <w:rPr>
          <w:rFonts w:ascii="仿宋" w:hAnsi="仿宋" w:eastAsia="仿宋" w:cs="Arial"/>
          <w:color w:val="auto"/>
          <w:w w:val="90"/>
          <w:sz w:val="28"/>
          <w:szCs w:val="28"/>
          <w:highlight w:val="none"/>
        </w:rPr>
        <w:t>__________________________</w:t>
      </w:r>
    </w:p>
    <w:p>
      <w:pPr>
        <w:rPr>
          <w:rFonts w:hint="eastAsia" w:ascii="仿宋" w:hAnsi="仿宋" w:eastAsia="仿宋" w:cs="Arial"/>
          <w:color w:val="auto"/>
          <w:w w:val="90"/>
          <w:sz w:val="28"/>
          <w:szCs w:val="28"/>
          <w:highlight w:val="non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pStyle w:val="6"/>
        <w:rPr>
          <w:rFonts w:hint="eastAsia"/>
          <w:color w:val="auto"/>
          <w:highlight w:val="none"/>
        </w:rPr>
      </w:pPr>
      <w:r>
        <w:rPr>
          <w:rFonts w:ascii="仿宋" w:hAnsi="仿宋" w:eastAsia="仿宋" w:cs="Arial"/>
          <w:color w:val="auto"/>
          <w:w w:val="90"/>
          <w:szCs w:val="28"/>
          <w:highlight w:val="none"/>
        </w:rPr>
        <w:br w:type="page"/>
      </w:r>
      <w:r>
        <w:rPr>
          <w:rFonts w:hint="eastAsia" w:ascii="仿宋" w:hAnsi="仿宋" w:eastAsia="仿宋" w:cs="Arial"/>
          <w:color w:val="auto"/>
          <w:w w:val="90"/>
          <w:szCs w:val="28"/>
          <w:highlight w:val="none"/>
        </w:rPr>
        <w:t>1.</w:t>
      </w:r>
      <w:r>
        <w:rPr>
          <w:rFonts w:hint="eastAsia" w:ascii="仿宋" w:hAnsi="仿宋" w:eastAsia="仿宋" w:cs="Arial"/>
          <w:color w:val="auto"/>
          <w:w w:val="90"/>
          <w:szCs w:val="28"/>
          <w:highlight w:val="none"/>
          <w:lang w:val="en-US" w:eastAsia="zh-CN"/>
        </w:rPr>
        <w:t>9</w:t>
      </w:r>
      <w:r>
        <w:rPr>
          <w:rFonts w:hint="eastAsia"/>
          <w:color w:val="auto"/>
          <w:highlight w:val="none"/>
        </w:rPr>
        <w:t>与参加本次项目同一合同项下政府采购活动的其他供应商不存在单位负责人为同一人或者直接控股、管理关系的承诺函：</w:t>
      </w:r>
    </w:p>
    <w:p>
      <w:pPr>
        <w:spacing w:line="360" w:lineRule="auto"/>
        <w:jc w:val="center"/>
        <w:rPr>
          <w:rFonts w:ascii="华文中宋" w:hAnsi="华文中宋" w:eastAsia="华文中宋" w:cs="Arial"/>
          <w:b/>
          <w:color w:val="auto"/>
          <w:sz w:val="28"/>
          <w:szCs w:val="44"/>
          <w:highlight w:val="none"/>
        </w:rPr>
      </w:pPr>
      <w:r>
        <w:rPr>
          <w:rFonts w:hint="eastAsia" w:ascii="华文中宋" w:hAnsi="华文中宋" w:eastAsia="华文中宋" w:cs="Arial"/>
          <w:b/>
          <w:color w:val="auto"/>
          <w:sz w:val="28"/>
          <w:szCs w:val="44"/>
          <w:highlight w:val="none"/>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color w:val="auto"/>
          <w:szCs w:val="28"/>
          <w:highlight w:val="none"/>
          <w:u w:val="single"/>
        </w:rPr>
      </w:pPr>
    </w:p>
    <w:p>
      <w:pPr>
        <w:spacing w:line="360" w:lineRule="auto"/>
        <w:rPr>
          <w:rFonts w:ascii="仿宋" w:hAnsi="仿宋" w:eastAsia="仿宋" w:cs="Arial"/>
          <w:b/>
          <w:color w:val="auto"/>
          <w:sz w:val="28"/>
          <w:szCs w:val="28"/>
          <w:highlight w:val="none"/>
          <w:u w:val="single"/>
        </w:rPr>
      </w:pPr>
      <w:r>
        <w:rPr>
          <w:rFonts w:hint="eastAsia" w:ascii="仿宋" w:hAnsi="仿宋" w:eastAsia="仿宋" w:cs="Arial"/>
          <w:b/>
          <w:color w:val="auto"/>
          <w:w w:val="90"/>
          <w:sz w:val="28"/>
          <w:szCs w:val="22"/>
          <w:highlight w:val="none"/>
          <w:u w:val="single"/>
        </w:rPr>
        <w:t>平阳县人民医院：</w:t>
      </w:r>
      <w:r>
        <w:rPr>
          <w:rFonts w:ascii="仿宋" w:hAnsi="仿宋" w:eastAsia="仿宋" w:cs="Arial"/>
          <w:b/>
          <w:color w:val="auto"/>
          <w:sz w:val="28"/>
          <w:szCs w:val="28"/>
          <w:highlight w:val="none"/>
          <w:u w:val="single"/>
        </w:rPr>
        <w:t xml:space="preserve"> </w:t>
      </w:r>
    </w:p>
    <w:p>
      <w:pPr>
        <w:spacing w:line="360" w:lineRule="auto"/>
        <w:rPr>
          <w:rFonts w:ascii="仿宋" w:hAnsi="仿宋" w:eastAsia="仿宋" w:cs="Arial"/>
          <w:color w:val="auto"/>
          <w:sz w:val="28"/>
          <w:szCs w:val="28"/>
          <w:highlight w:val="none"/>
        </w:rPr>
      </w:pPr>
    </w:p>
    <w:p>
      <w:pPr>
        <w:spacing w:line="360" w:lineRule="auto"/>
        <w:ind w:firstLine="560" w:firstLineChars="200"/>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我方郑重承诺，我方此次参加</w:t>
      </w:r>
      <w:r>
        <w:rPr>
          <w:rFonts w:hint="eastAsia" w:ascii="仿宋" w:hAnsi="仿宋" w:eastAsia="仿宋" w:cs="Arial"/>
          <w:b/>
          <w:color w:val="auto"/>
          <w:sz w:val="28"/>
          <w:szCs w:val="28"/>
          <w:highlight w:val="none"/>
          <w:u w:val="single"/>
          <w:lang w:eastAsia="zh-CN"/>
        </w:rPr>
        <w:t xml:space="preserve">平阳县人民医院后勤综合管控系统项目 </w:t>
      </w:r>
      <w:r>
        <w:rPr>
          <w:rFonts w:hint="eastAsia" w:ascii="仿宋" w:hAnsi="仿宋" w:eastAsia="仿宋" w:cs="Arial"/>
          <w:b/>
          <w:color w:val="auto"/>
          <w:sz w:val="28"/>
          <w:szCs w:val="28"/>
          <w:highlight w:val="none"/>
          <w:u w:val="single"/>
        </w:rPr>
        <w:t>（项目编号：   ）</w:t>
      </w:r>
      <w:r>
        <w:rPr>
          <w:rFonts w:hint="eastAsia" w:ascii="仿宋" w:hAnsi="仿宋" w:eastAsia="仿宋" w:cs="Arial"/>
          <w:color w:val="auto"/>
          <w:sz w:val="28"/>
          <w:szCs w:val="28"/>
          <w:highlight w:val="none"/>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hint="eastAsia"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特此承诺</w:t>
      </w:r>
    </w:p>
    <w:p>
      <w:pPr>
        <w:spacing w:line="360" w:lineRule="auto"/>
        <w:ind w:firstLine="560" w:firstLineChars="200"/>
        <w:rPr>
          <w:rFonts w:ascii="仿宋" w:hAnsi="仿宋" w:eastAsia="仿宋" w:cs="Arial"/>
          <w:color w:val="auto"/>
          <w:sz w:val="28"/>
          <w:szCs w:val="28"/>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供应商名称（盖章）：</w:t>
      </w:r>
      <w:r>
        <w:rPr>
          <w:rFonts w:ascii="仿宋" w:hAnsi="仿宋" w:eastAsia="仿宋" w:cs="Arial"/>
          <w:color w:val="auto"/>
          <w:w w:val="90"/>
          <w:sz w:val="28"/>
          <w:szCs w:val="28"/>
          <w:highlight w:val="none"/>
        </w:rPr>
        <w:t>__________________________________________</w:t>
      </w:r>
    </w:p>
    <w:p>
      <w:pPr>
        <w:snapToGrid w:val="0"/>
        <w:spacing w:line="360" w:lineRule="auto"/>
        <w:rPr>
          <w:rFonts w:hint="eastAsia" w:ascii="仿宋" w:hAnsi="仿宋" w:eastAsia="仿宋" w:cs="Arial"/>
          <w:color w:val="auto"/>
          <w:sz w:val="28"/>
          <w:szCs w:val="28"/>
          <w:highlight w:val="none"/>
          <w:u w:val="single"/>
        </w:rPr>
      </w:pPr>
      <w:r>
        <w:rPr>
          <w:rFonts w:hint="eastAsia" w:ascii="仿宋" w:hAnsi="仿宋" w:eastAsia="仿宋" w:cs="Arial"/>
          <w:color w:val="auto"/>
          <w:sz w:val="28"/>
          <w:szCs w:val="28"/>
          <w:highlight w:val="none"/>
        </w:rPr>
        <w:t>法定代表人或其授权代表（签字或盖章）：</w:t>
      </w:r>
      <w:r>
        <w:rPr>
          <w:rFonts w:ascii="仿宋" w:hAnsi="仿宋" w:eastAsia="仿宋" w:cs="Arial"/>
          <w:color w:val="auto"/>
          <w:w w:val="90"/>
          <w:sz w:val="28"/>
          <w:szCs w:val="28"/>
          <w:highlight w:val="none"/>
        </w:rPr>
        <w:t>___________________________</w:t>
      </w:r>
    </w:p>
    <w:p>
      <w:pPr>
        <w:rPr>
          <w:rFonts w:hint="eastAsia"/>
          <w:color w:val="auto"/>
          <w:highlight w:val="non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pStyle w:val="6"/>
        <w:rPr>
          <w:color w:val="auto"/>
          <w:highlight w:val="none"/>
        </w:rPr>
      </w:pPr>
      <w:r>
        <w:rPr>
          <w:rFonts w:hint="eastAsia"/>
          <w:color w:val="auto"/>
          <w:highlight w:val="none"/>
        </w:rPr>
        <w:t>1.</w:t>
      </w:r>
      <w:r>
        <w:rPr>
          <w:rFonts w:hint="eastAsia"/>
          <w:color w:val="auto"/>
          <w:highlight w:val="none"/>
          <w:lang w:val="en-US" w:eastAsia="zh-CN"/>
        </w:rPr>
        <w:t>10</w:t>
      </w:r>
      <w:r>
        <w:rPr>
          <w:rFonts w:hint="eastAsia"/>
          <w:color w:val="auto"/>
          <w:highlight w:val="none"/>
        </w:rPr>
        <w:t>没有失信行为的承诺函</w:t>
      </w:r>
    </w:p>
    <w:p>
      <w:pPr>
        <w:spacing w:line="360" w:lineRule="auto"/>
        <w:jc w:val="center"/>
        <w:rPr>
          <w:rFonts w:ascii="华文中宋" w:hAnsi="华文中宋" w:eastAsia="华文中宋" w:cs="Arial"/>
          <w:b/>
          <w:color w:val="auto"/>
          <w:sz w:val="28"/>
          <w:szCs w:val="28"/>
          <w:highlight w:val="none"/>
        </w:rPr>
      </w:pPr>
    </w:p>
    <w:p>
      <w:pPr>
        <w:spacing w:line="360" w:lineRule="auto"/>
        <w:jc w:val="center"/>
        <w:rPr>
          <w:rFonts w:ascii="华文中宋" w:hAnsi="华文中宋" w:eastAsia="华文中宋" w:cs="Arial"/>
          <w:b/>
          <w:color w:val="auto"/>
          <w:sz w:val="44"/>
          <w:szCs w:val="44"/>
          <w:highlight w:val="none"/>
        </w:rPr>
      </w:pPr>
      <w:r>
        <w:rPr>
          <w:rFonts w:hint="eastAsia" w:ascii="华文中宋" w:hAnsi="华文中宋" w:eastAsia="华文中宋" w:cs="Arial"/>
          <w:b/>
          <w:color w:val="auto"/>
          <w:sz w:val="44"/>
          <w:szCs w:val="44"/>
          <w:highlight w:val="none"/>
        </w:rPr>
        <w:t>供应商没有失信记录承诺函</w:t>
      </w:r>
    </w:p>
    <w:p>
      <w:pPr>
        <w:spacing w:line="360" w:lineRule="auto"/>
        <w:rPr>
          <w:rFonts w:ascii="华文中宋" w:hAnsi="华文中宋" w:eastAsia="华文中宋" w:cs="Arial"/>
          <w:b/>
          <w:color w:val="auto"/>
          <w:szCs w:val="28"/>
          <w:highlight w:val="none"/>
          <w:u w:val="single"/>
        </w:rPr>
      </w:pPr>
    </w:p>
    <w:p>
      <w:pPr>
        <w:spacing w:line="360" w:lineRule="auto"/>
        <w:rPr>
          <w:rFonts w:ascii="仿宋" w:hAnsi="仿宋" w:eastAsia="仿宋" w:cs="Arial"/>
          <w:b/>
          <w:color w:val="auto"/>
          <w:sz w:val="28"/>
          <w:szCs w:val="28"/>
          <w:highlight w:val="none"/>
          <w:u w:val="single"/>
        </w:rPr>
      </w:pPr>
      <w:r>
        <w:rPr>
          <w:rFonts w:hint="eastAsia" w:ascii="仿宋" w:hAnsi="仿宋" w:eastAsia="仿宋" w:cs="Arial"/>
          <w:b/>
          <w:color w:val="auto"/>
          <w:w w:val="90"/>
          <w:sz w:val="28"/>
          <w:szCs w:val="22"/>
          <w:highlight w:val="none"/>
          <w:u w:val="single"/>
        </w:rPr>
        <w:t>平阳县人民医院：</w:t>
      </w:r>
    </w:p>
    <w:p>
      <w:pPr>
        <w:spacing w:line="360" w:lineRule="auto"/>
        <w:rPr>
          <w:rFonts w:ascii="仿宋" w:hAnsi="仿宋" w:eastAsia="仿宋" w:cs="Arial"/>
          <w:color w:val="auto"/>
          <w:sz w:val="28"/>
          <w:szCs w:val="28"/>
          <w:highlight w:val="none"/>
        </w:rPr>
      </w:pPr>
    </w:p>
    <w:p>
      <w:pPr>
        <w:spacing w:line="360" w:lineRule="auto"/>
        <w:ind w:firstLine="565" w:firstLineChars="202"/>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我公司郑重承诺：到本项目投标截止时间为止，我公司未被</w:t>
      </w:r>
      <w:r>
        <w:rPr>
          <w:rFonts w:ascii="仿宋" w:hAnsi="仿宋" w:eastAsia="仿宋" w:cs="Arial"/>
          <w:color w:val="auto"/>
          <w:sz w:val="28"/>
          <w:szCs w:val="28"/>
          <w:highlight w:val="none"/>
        </w:rPr>
        <w:t>“信用中国”</w:t>
      </w:r>
      <w:r>
        <w:rPr>
          <w:rFonts w:hint="eastAsia" w:ascii="仿宋" w:hAnsi="仿宋" w:eastAsia="仿宋" w:cs="Arial"/>
          <w:color w:val="auto"/>
          <w:sz w:val="28"/>
          <w:szCs w:val="28"/>
          <w:highlight w:val="none"/>
        </w:rPr>
        <w:t>（</w:t>
      </w:r>
      <w:r>
        <w:rPr>
          <w:rFonts w:ascii="仿宋" w:hAnsi="仿宋" w:eastAsia="仿宋" w:cs="Arial"/>
          <w:color w:val="auto"/>
          <w:sz w:val="28"/>
          <w:szCs w:val="28"/>
          <w:highlight w:val="none"/>
        </w:rPr>
        <w:t>www.creditchina.gov.cn</w:t>
      </w:r>
      <w:r>
        <w:rPr>
          <w:rFonts w:hint="eastAsia" w:ascii="仿宋" w:hAnsi="仿宋" w:eastAsia="仿宋" w:cs="Arial"/>
          <w:color w:val="auto"/>
          <w:sz w:val="28"/>
          <w:szCs w:val="28"/>
          <w:highlight w:val="none"/>
        </w:rPr>
        <w:t>）、</w:t>
      </w:r>
      <w:r>
        <w:rPr>
          <w:rFonts w:ascii="仿宋" w:hAnsi="仿宋" w:eastAsia="仿宋" w:cs="Arial"/>
          <w:color w:val="auto"/>
          <w:sz w:val="28"/>
          <w:szCs w:val="28"/>
          <w:highlight w:val="none"/>
        </w:rPr>
        <w:t>中国政府采购网</w:t>
      </w:r>
      <w:r>
        <w:rPr>
          <w:rFonts w:hint="eastAsia" w:ascii="仿宋" w:hAnsi="仿宋" w:eastAsia="仿宋" w:cs="Arial"/>
          <w:color w:val="auto"/>
          <w:sz w:val="28"/>
          <w:szCs w:val="28"/>
          <w:highlight w:val="none"/>
        </w:rPr>
        <w:t>（</w:t>
      </w:r>
      <w:r>
        <w:rPr>
          <w:rFonts w:ascii="仿宋" w:hAnsi="仿宋" w:eastAsia="仿宋" w:cs="Arial"/>
          <w:color w:val="auto"/>
          <w:sz w:val="28"/>
          <w:szCs w:val="28"/>
          <w:highlight w:val="none"/>
        </w:rPr>
        <w:t>www.ccgp.gov.cn</w:t>
      </w:r>
      <w:r>
        <w:rPr>
          <w:rFonts w:hint="eastAsia" w:ascii="仿宋" w:hAnsi="仿宋" w:eastAsia="仿宋" w:cs="Arial"/>
          <w:color w:val="auto"/>
          <w:sz w:val="28"/>
          <w:szCs w:val="28"/>
          <w:highlight w:val="none"/>
        </w:rPr>
        <w:t>）</w:t>
      </w:r>
      <w:r>
        <w:rPr>
          <w:rFonts w:ascii="仿宋" w:hAnsi="仿宋" w:eastAsia="仿宋" w:cs="Arial"/>
          <w:color w:val="auto"/>
          <w:sz w:val="28"/>
          <w:szCs w:val="28"/>
          <w:highlight w:val="none"/>
        </w:rPr>
        <w:t>列入失信被执行人</w:t>
      </w:r>
      <w:r>
        <w:rPr>
          <w:rFonts w:hint="eastAsia" w:ascii="仿宋" w:hAnsi="仿宋" w:eastAsia="仿宋" w:cs="Arial"/>
          <w:color w:val="auto"/>
          <w:sz w:val="28"/>
          <w:szCs w:val="28"/>
          <w:highlight w:val="none"/>
        </w:rPr>
        <w:t>名单</w:t>
      </w:r>
      <w:r>
        <w:rPr>
          <w:rFonts w:ascii="仿宋" w:hAnsi="仿宋" w:eastAsia="仿宋" w:cs="Arial"/>
          <w:color w:val="auto"/>
          <w:sz w:val="28"/>
          <w:szCs w:val="28"/>
          <w:highlight w:val="none"/>
        </w:rPr>
        <w:t>、重大税收违法案件当事人名单、政府采购严重违法失信行为记录名单</w:t>
      </w:r>
      <w:r>
        <w:rPr>
          <w:rFonts w:hint="eastAsia" w:ascii="仿宋" w:hAnsi="仿宋" w:eastAsia="仿宋" w:cs="Arial"/>
          <w:color w:val="auto"/>
          <w:sz w:val="28"/>
          <w:szCs w:val="28"/>
          <w:highlight w:val="none"/>
        </w:rPr>
        <w:t>。如有隐瞒，愿承担一切责任。</w:t>
      </w: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特此声明</w:t>
      </w: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供应商名称（盖章）：</w:t>
      </w:r>
      <w:r>
        <w:rPr>
          <w:rFonts w:ascii="仿宋" w:hAnsi="仿宋" w:eastAsia="仿宋" w:cs="Arial"/>
          <w:color w:val="auto"/>
          <w:w w:val="90"/>
          <w:sz w:val="28"/>
          <w:szCs w:val="28"/>
          <w:highlight w:val="none"/>
        </w:rPr>
        <w:t>__________________________________________</w:t>
      </w:r>
    </w:p>
    <w:p>
      <w:pPr>
        <w:snapToGrid w:val="0"/>
        <w:spacing w:line="360" w:lineRule="auto"/>
        <w:rPr>
          <w:rFonts w:hint="eastAsia" w:ascii="仿宋" w:hAnsi="仿宋" w:eastAsia="仿宋" w:cs="Arial"/>
          <w:color w:val="auto"/>
          <w:sz w:val="28"/>
          <w:szCs w:val="28"/>
          <w:highlight w:val="none"/>
          <w:u w:val="single"/>
        </w:rPr>
      </w:pPr>
      <w:r>
        <w:rPr>
          <w:rFonts w:hint="eastAsia" w:ascii="仿宋" w:hAnsi="仿宋" w:eastAsia="仿宋" w:cs="Arial"/>
          <w:color w:val="auto"/>
          <w:sz w:val="28"/>
          <w:szCs w:val="28"/>
          <w:highlight w:val="none"/>
        </w:rPr>
        <w:t>法定代表人或其授权代表（签字或盖章）：</w:t>
      </w:r>
      <w:r>
        <w:rPr>
          <w:rFonts w:ascii="仿宋" w:hAnsi="仿宋" w:eastAsia="仿宋" w:cs="Arial"/>
          <w:color w:val="auto"/>
          <w:w w:val="90"/>
          <w:sz w:val="28"/>
          <w:szCs w:val="28"/>
          <w:highlight w:val="none"/>
        </w:rPr>
        <w:t>___________________________</w:t>
      </w:r>
    </w:p>
    <w:p>
      <w:pPr>
        <w:rPr>
          <w:color w:val="auto"/>
          <w:highlight w:val="non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pStyle w:val="6"/>
        <w:rPr>
          <w:rFonts w:hint="default" w:eastAsia="宋体"/>
          <w:color w:val="auto"/>
          <w:highlight w:val="none"/>
          <w:lang w:val="en-US" w:eastAsia="zh-CN"/>
        </w:rPr>
      </w:pPr>
      <w:r>
        <w:rPr>
          <w:rFonts w:ascii="Times New Roman" w:hAnsi="Times New Roman"/>
          <w:color w:val="auto"/>
          <w:highlight w:val="none"/>
        </w:rPr>
        <w:br w:type="page"/>
      </w:r>
      <w:r>
        <w:rPr>
          <w:rFonts w:hint="eastAsia"/>
          <w:color w:val="auto"/>
          <w:highlight w:val="none"/>
        </w:rPr>
        <w:t>1.</w:t>
      </w:r>
      <w:r>
        <w:rPr>
          <w:rFonts w:hint="eastAsia"/>
          <w:color w:val="auto"/>
          <w:highlight w:val="none"/>
          <w:lang w:val="en-US" w:eastAsia="zh-CN"/>
        </w:rPr>
        <w:t>12供应商有效的</w:t>
      </w:r>
      <w:r>
        <w:rPr>
          <w:rFonts w:hint="eastAsia"/>
          <w:color w:val="auto"/>
          <w:highlight w:val="none"/>
        </w:rPr>
        <w:t>电子与智能化工程专业承包二级及以上资质或建筑机电安装工程专业承包三级及以上资质或机电工程施工总承包三级及以上资质</w:t>
      </w:r>
      <w:r>
        <w:rPr>
          <w:rFonts w:hint="eastAsia"/>
          <w:color w:val="auto"/>
          <w:highlight w:val="none"/>
          <w:lang w:val="en-US" w:eastAsia="zh-CN"/>
        </w:rPr>
        <w:t>证书</w:t>
      </w:r>
    </w:p>
    <w:tbl>
      <w:tblPr>
        <w:tblStyle w:val="21"/>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noWrap w:val="0"/>
            <w:vAlign w:val="center"/>
          </w:tcPr>
          <w:p>
            <w:pPr>
              <w:spacing w:line="360" w:lineRule="auto"/>
              <w:rPr>
                <w:rFonts w:hint="eastAsia" w:ascii="仿宋" w:hAnsi="仿宋" w:eastAsia="仿宋" w:cs="Arial"/>
                <w:b/>
                <w:i/>
                <w:color w:val="auto"/>
                <w:highlight w:val="none"/>
              </w:rPr>
            </w:pPr>
            <w:r>
              <w:rPr>
                <w:rFonts w:hint="eastAsia" w:ascii="仿宋" w:hAnsi="仿宋" w:eastAsia="仿宋" w:cs="Arial"/>
                <w:b/>
                <w:color w:val="auto"/>
                <w:highlight w:val="none"/>
              </w:rPr>
              <w:t>资格要求：</w:t>
            </w:r>
            <w:r>
              <w:rPr>
                <w:rFonts w:hint="eastAsia" w:ascii="仿宋" w:hAnsi="仿宋" w:eastAsia="仿宋" w:cs="Arial"/>
                <w:b/>
                <w:color w:val="auto"/>
                <w:highlight w:val="none"/>
                <w:lang w:val="en-US" w:eastAsia="zh-CN"/>
              </w:rPr>
              <w:t>供应商有效的</w:t>
            </w:r>
            <w:r>
              <w:rPr>
                <w:rFonts w:hint="eastAsia" w:ascii="仿宋" w:hAnsi="仿宋" w:eastAsia="仿宋" w:cs="Arial"/>
                <w:b/>
                <w:color w:val="auto"/>
                <w:highlight w:val="none"/>
              </w:rPr>
              <w:t>电子与智能化工程专业承包二级及以上资质或建筑机电安装工程专业承包三级及以上资质或机电工程施工总承包三级及以上资质</w:t>
            </w:r>
            <w:r>
              <w:rPr>
                <w:rFonts w:hint="eastAsia" w:ascii="仿宋" w:hAnsi="仿宋" w:eastAsia="仿宋" w:cs="Arial"/>
                <w:b/>
                <w:color w:val="auto"/>
                <w:highlight w:val="none"/>
                <w:lang w:val="en-US" w:eastAsia="zh-CN"/>
              </w:rPr>
              <w:t>证书（复印件加盖有效公章）</w:t>
            </w:r>
          </w:p>
          <w:p>
            <w:pPr>
              <w:spacing w:line="360" w:lineRule="auto"/>
              <w:jc w:val="center"/>
              <w:rPr>
                <w:rFonts w:ascii="仿宋" w:hAnsi="仿宋" w:eastAsia="仿宋" w:cs="Arial"/>
                <w:b/>
                <w:i/>
                <w:color w:val="auto"/>
                <w:szCs w:val="21"/>
                <w:highlight w:val="none"/>
              </w:rPr>
            </w:pPr>
          </w:p>
        </w:tc>
      </w:tr>
    </w:tbl>
    <w:p>
      <w:pPr>
        <w:pStyle w:val="6"/>
        <w:rPr>
          <w:color w:val="auto"/>
          <w:highlight w:val="none"/>
        </w:rPr>
      </w:pPr>
      <w:r>
        <w:rPr>
          <w:rFonts w:hint="eastAsia"/>
          <w:color w:val="auto"/>
          <w:highlight w:val="none"/>
        </w:rPr>
        <w:t>二、“报价文件</w:t>
      </w:r>
      <w:r>
        <w:rPr>
          <w:color w:val="auto"/>
          <w:highlight w:val="none"/>
        </w:rPr>
        <w:t>”</w:t>
      </w:r>
      <w:r>
        <w:rPr>
          <w:rFonts w:hint="eastAsia"/>
          <w:color w:val="auto"/>
          <w:highlight w:val="none"/>
        </w:rPr>
        <w:t>格式</w:t>
      </w:r>
    </w:p>
    <w:p>
      <w:pPr>
        <w:pStyle w:val="7"/>
        <w:rPr>
          <w:color w:val="auto"/>
          <w:highlight w:val="none"/>
        </w:rPr>
      </w:pPr>
      <w:r>
        <w:rPr>
          <w:rFonts w:hint="eastAsia"/>
          <w:color w:val="auto"/>
          <w:highlight w:val="none"/>
        </w:rPr>
        <w:t>2.1 “报价文件”封面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80"/>
          <w:sz w:val="52"/>
          <w:szCs w:val="22"/>
          <w:highlight w:val="none"/>
          <w:lang w:eastAsia="zh-CN"/>
        </w:rPr>
      </w:pPr>
      <w:r>
        <w:rPr>
          <w:rFonts w:hint="eastAsia" w:ascii="华文中宋" w:hAnsi="华文中宋" w:eastAsia="华文中宋" w:cs="Arial"/>
          <w:b/>
          <w:color w:val="auto"/>
          <w:w w:val="90"/>
          <w:sz w:val="44"/>
          <w:szCs w:val="22"/>
          <w:highlight w:val="none"/>
          <w:lang w:eastAsia="zh-CN"/>
        </w:rPr>
        <w:t>平阳县人民医院后勤综合管控系统项目</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hint="eastAsia"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（报价文件）</w:t>
      </w:r>
    </w:p>
    <w:tbl>
      <w:tblPr>
        <w:tblStyle w:val="21"/>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rPr>
                <w:rFonts w:hint="eastAsia"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noWrap w:val="0"/>
            <w:vAlign w:val="center"/>
          </w:tcPr>
          <w:p>
            <w:pPr>
              <w:jc w:val="cente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pPr>
        <w:pStyle w:val="10"/>
        <w:adjustRightInd w:val="0"/>
        <w:snapToGrid w:val="0"/>
        <w:spacing w:line="500" w:lineRule="exact"/>
        <w:rPr>
          <w:rFonts w:hint="eastAsia" w:hAnsi="宋体"/>
          <w:color w:val="auto"/>
          <w:sz w:val="30"/>
          <w:highlight w:val="none"/>
        </w:rPr>
      </w:pPr>
    </w:p>
    <w:p>
      <w:pPr>
        <w:autoSpaceDE w:val="0"/>
        <w:autoSpaceDN w:val="0"/>
        <w:adjustRightInd w:val="0"/>
        <w:snapToGrid w:val="0"/>
        <w:spacing w:line="360" w:lineRule="atLeast"/>
        <w:rPr>
          <w:rFonts w:hint="eastAsia"/>
          <w:color w:val="auto"/>
          <w:highlight w:val="none"/>
        </w:rPr>
        <w:sectPr>
          <w:headerReference r:id="rId4" w:type="first"/>
          <w:footerReference r:id="rId6" w:type="first"/>
          <w:headerReference r:id="rId3" w:type="default"/>
          <w:footerReference r:id="rId5" w:type="default"/>
          <w:pgSz w:w="11906" w:h="16838"/>
          <w:pgMar w:top="1440" w:right="1361" w:bottom="1440" w:left="1361" w:header="720" w:footer="720" w:gutter="0"/>
          <w:pgNumType w:start="0"/>
          <w:cols w:space="720" w:num="1"/>
          <w:titlePg/>
          <w:docGrid w:linePitch="286" w:charSpace="-3831"/>
        </w:sectPr>
      </w:pPr>
    </w:p>
    <w:p>
      <w:pPr>
        <w:pStyle w:val="10"/>
        <w:adjustRightInd w:val="0"/>
        <w:snapToGrid w:val="0"/>
        <w:spacing w:line="400" w:lineRule="exact"/>
        <w:rPr>
          <w:rFonts w:hint="eastAsia" w:hAnsi="宋体"/>
          <w:color w:val="auto"/>
          <w:sz w:val="36"/>
          <w:szCs w:val="36"/>
          <w:highlight w:val="none"/>
        </w:rPr>
      </w:pPr>
      <w:r>
        <w:rPr>
          <w:rFonts w:hint="eastAsia" w:hAnsi="宋体"/>
          <w:color w:val="auto"/>
          <w:sz w:val="36"/>
          <w:szCs w:val="36"/>
          <w:highlight w:val="none"/>
        </w:rPr>
        <w:t>2.3</w:t>
      </w:r>
      <w:r>
        <w:rPr>
          <w:rFonts w:hint="eastAsia" w:hAnsi="宋体"/>
          <w:color w:val="auto"/>
          <w:sz w:val="36"/>
          <w:szCs w:val="36"/>
          <w:highlight w:val="none"/>
          <w:lang w:eastAsia="zh-CN"/>
        </w:rPr>
        <w:t>报价一览表</w:t>
      </w:r>
      <w:r>
        <w:rPr>
          <w:rFonts w:hAnsi="宋体"/>
          <w:color w:val="auto"/>
          <w:sz w:val="36"/>
          <w:szCs w:val="36"/>
          <w:highlight w:val="none"/>
        </w:rPr>
        <w:t xml:space="preserve"> </w:t>
      </w:r>
      <w:r>
        <w:rPr>
          <w:rFonts w:hint="eastAsia" w:hAnsi="宋体"/>
          <w:color w:val="auto"/>
          <w:sz w:val="36"/>
          <w:szCs w:val="36"/>
          <w:highlight w:val="none"/>
        </w:rPr>
        <w:t xml:space="preserve">   </w:t>
      </w:r>
    </w:p>
    <w:p>
      <w:pPr>
        <w:pStyle w:val="10"/>
        <w:adjustRightInd w:val="0"/>
        <w:snapToGrid w:val="0"/>
        <w:spacing w:line="400" w:lineRule="exact"/>
        <w:jc w:val="center"/>
        <w:rPr>
          <w:rFonts w:hint="eastAsia" w:hAnsi="宋体"/>
          <w:color w:val="auto"/>
          <w:sz w:val="36"/>
          <w:szCs w:val="36"/>
          <w:highlight w:val="none"/>
        </w:rPr>
      </w:pPr>
    </w:p>
    <w:p>
      <w:pPr>
        <w:spacing w:line="360" w:lineRule="auto"/>
        <w:jc w:val="center"/>
        <w:rPr>
          <w:rFonts w:hint="eastAsia" w:ascii="华文中宋" w:hAnsi="华文中宋" w:eastAsia="华文中宋" w:cs="Arial"/>
          <w:b/>
          <w:color w:val="auto"/>
          <w:sz w:val="44"/>
          <w:szCs w:val="44"/>
          <w:highlight w:val="none"/>
          <w:lang w:eastAsia="zh-CN"/>
        </w:rPr>
      </w:pPr>
      <w:r>
        <w:rPr>
          <w:rFonts w:hint="eastAsia" w:ascii="华文中宋" w:hAnsi="华文中宋" w:eastAsia="华文中宋" w:cs="Arial"/>
          <w:b/>
          <w:color w:val="auto"/>
          <w:sz w:val="44"/>
          <w:szCs w:val="44"/>
          <w:highlight w:val="none"/>
          <w:lang w:eastAsia="zh-CN"/>
        </w:rPr>
        <w:t>报价一览表</w:t>
      </w:r>
    </w:p>
    <w:p>
      <w:pPr>
        <w:autoSpaceDE w:val="0"/>
        <w:autoSpaceDN w:val="0"/>
        <w:adjustRightInd w:val="0"/>
        <w:spacing w:line="460" w:lineRule="atLeast"/>
        <w:rPr>
          <w:rFonts w:ascii="宋体" w:cs="Arial"/>
          <w:color w:val="auto"/>
          <w:sz w:val="22"/>
          <w:highlight w:val="none"/>
          <w:lang w:val="zh-CN"/>
        </w:rPr>
      </w:pPr>
      <w:r>
        <w:rPr>
          <w:rFonts w:ascii="宋体" w:cs="Arial"/>
          <w:color w:val="auto"/>
          <w:sz w:val="22"/>
          <w:highlight w:val="none"/>
          <w:lang w:val="zh-CN"/>
        </w:rPr>
        <w:t>供应商名称：</w:t>
      </w:r>
      <w:r>
        <w:rPr>
          <w:rFonts w:ascii="宋体" w:cs="Arial"/>
          <w:color w:val="auto"/>
          <w:sz w:val="22"/>
          <w:highlight w:val="none"/>
          <w:u w:val="single"/>
          <w:lang w:val="zh-CN"/>
        </w:rPr>
        <w:t xml:space="preserve">             </w:t>
      </w:r>
      <w:r>
        <w:rPr>
          <w:rFonts w:ascii="宋体" w:cs="Arial"/>
          <w:color w:val="auto"/>
          <w:sz w:val="22"/>
          <w:highlight w:val="none"/>
          <w:lang w:val="zh-CN"/>
        </w:rPr>
        <w:t xml:space="preserve">     采购编号：</w:t>
      </w:r>
      <w:r>
        <w:rPr>
          <w:rFonts w:ascii="宋体" w:cs="Arial"/>
          <w:color w:val="auto"/>
          <w:sz w:val="22"/>
          <w:highlight w:val="none"/>
          <w:u w:val="single"/>
          <w:lang w:val="zh-CN"/>
        </w:rPr>
        <w:t xml:space="preserve">         </w:t>
      </w:r>
      <w:r>
        <w:rPr>
          <w:rFonts w:ascii="宋体" w:cs="Arial"/>
          <w:color w:val="auto"/>
          <w:sz w:val="22"/>
          <w:highlight w:val="none"/>
          <w:lang w:val="zh-CN"/>
        </w:rPr>
        <w:t xml:space="preserve">    </w:t>
      </w:r>
      <w:r>
        <w:rPr>
          <w:rFonts w:hint="eastAsia" w:ascii="宋体" w:cs="Arial"/>
          <w:color w:val="auto"/>
          <w:sz w:val="22"/>
          <w:highlight w:val="none"/>
          <w:lang w:val="zh-CN"/>
        </w:rPr>
        <w:t xml:space="preserve">       </w:t>
      </w:r>
      <w:r>
        <w:rPr>
          <w:rFonts w:ascii="宋体" w:cs="Arial"/>
          <w:color w:val="auto"/>
          <w:sz w:val="22"/>
          <w:highlight w:val="none"/>
          <w:lang w:val="zh-CN"/>
        </w:rPr>
        <w:t>报价单位：</w:t>
      </w:r>
      <w:r>
        <w:rPr>
          <w:rFonts w:ascii="宋体" w:cs="Arial"/>
          <w:color w:val="auto"/>
          <w:sz w:val="22"/>
          <w:highlight w:val="none"/>
          <w:u w:val="single"/>
          <w:lang w:val="zh-CN"/>
        </w:rPr>
        <w:t>人民币元</w:t>
      </w:r>
    </w:p>
    <w:tbl>
      <w:tblPr>
        <w:tblStyle w:val="21"/>
        <w:tblW w:w="965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4"/>
        <w:gridCol w:w="3038"/>
        <w:gridCol w:w="2712"/>
        <w:gridCol w:w="2034"/>
        <w:gridCol w:w="115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4" w:hRule="exact"/>
        </w:trPr>
        <w:tc>
          <w:tcPr>
            <w:tcW w:w="724" w:type="dxa"/>
            <w:noWrap w:val="0"/>
            <w:vAlign w:val="center"/>
          </w:tcPr>
          <w:p>
            <w:pPr>
              <w:jc w:val="center"/>
              <w:rPr>
                <w:rFonts w:ascii="Arial" w:hAnsi="Arial" w:cs="Arial"/>
                <w:b/>
                <w:snapToGrid w:val="0"/>
                <w:color w:val="auto"/>
                <w:kern w:val="0"/>
                <w:sz w:val="22"/>
                <w:highlight w:val="none"/>
              </w:rPr>
            </w:pPr>
            <w:r>
              <w:rPr>
                <w:rFonts w:ascii="Arial" w:hAnsi="宋体" w:cs="Arial"/>
                <w:b/>
                <w:snapToGrid w:val="0"/>
                <w:color w:val="auto"/>
                <w:kern w:val="0"/>
                <w:sz w:val="22"/>
                <w:highlight w:val="none"/>
              </w:rPr>
              <w:t>序号</w:t>
            </w:r>
          </w:p>
        </w:tc>
        <w:tc>
          <w:tcPr>
            <w:tcW w:w="3038" w:type="dxa"/>
            <w:noWrap w:val="0"/>
            <w:vAlign w:val="center"/>
          </w:tcPr>
          <w:p>
            <w:pPr>
              <w:jc w:val="center"/>
              <w:rPr>
                <w:rFonts w:ascii="Arial" w:hAnsi="Arial" w:cs="Arial"/>
                <w:b/>
                <w:snapToGrid w:val="0"/>
                <w:color w:val="auto"/>
                <w:kern w:val="0"/>
                <w:sz w:val="22"/>
                <w:highlight w:val="none"/>
              </w:rPr>
            </w:pPr>
            <w:r>
              <w:rPr>
                <w:rFonts w:ascii="Arial" w:hAnsi="宋体" w:cs="Arial"/>
                <w:b/>
                <w:snapToGrid w:val="0"/>
                <w:color w:val="auto"/>
                <w:kern w:val="0"/>
                <w:sz w:val="22"/>
                <w:highlight w:val="none"/>
              </w:rPr>
              <w:t>名</w:t>
            </w:r>
            <w:r>
              <w:rPr>
                <w:rFonts w:ascii="Arial" w:hAnsi="Arial" w:cs="Arial"/>
                <w:b/>
                <w:snapToGrid w:val="0"/>
                <w:color w:val="auto"/>
                <w:kern w:val="0"/>
                <w:sz w:val="22"/>
                <w:highlight w:val="none"/>
              </w:rPr>
              <w:t xml:space="preserve">  </w:t>
            </w:r>
            <w:r>
              <w:rPr>
                <w:rFonts w:ascii="Arial" w:hAnsi="宋体" w:cs="Arial"/>
                <w:b/>
                <w:snapToGrid w:val="0"/>
                <w:color w:val="auto"/>
                <w:kern w:val="0"/>
                <w:sz w:val="22"/>
                <w:highlight w:val="none"/>
              </w:rPr>
              <w:t>称</w:t>
            </w:r>
          </w:p>
        </w:tc>
        <w:tc>
          <w:tcPr>
            <w:tcW w:w="2712" w:type="dxa"/>
            <w:noWrap w:val="0"/>
            <w:vAlign w:val="center"/>
          </w:tcPr>
          <w:p>
            <w:pPr>
              <w:jc w:val="center"/>
              <w:rPr>
                <w:rFonts w:hint="eastAsia" w:ascii="Arial" w:hAnsi="Arial" w:cs="Arial"/>
                <w:b/>
                <w:snapToGrid w:val="0"/>
                <w:color w:val="auto"/>
                <w:kern w:val="0"/>
                <w:sz w:val="22"/>
                <w:highlight w:val="none"/>
              </w:rPr>
            </w:pPr>
            <w:r>
              <w:rPr>
                <w:rFonts w:ascii="Arial" w:hAnsi="宋体" w:cs="Arial"/>
                <w:b/>
                <w:snapToGrid w:val="0"/>
                <w:color w:val="auto"/>
                <w:kern w:val="0"/>
                <w:sz w:val="22"/>
                <w:highlight w:val="none"/>
              </w:rPr>
              <w:t>投标报价</w:t>
            </w:r>
            <w:r>
              <w:rPr>
                <w:rFonts w:ascii="Arial" w:hAnsi="Arial" w:cs="Arial"/>
                <w:b/>
                <w:snapToGrid w:val="0"/>
                <w:color w:val="auto"/>
                <w:kern w:val="0"/>
                <w:sz w:val="22"/>
                <w:highlight w:val="none"/>
              </w:rPr>
              <w:t xml:space="preserve"> </w:t>
            </w:r>
          </w:p>
        </w:tc>
        <w:tc>
          <w:tcPr>
            <w:tcW w:w="2034" w:type="dxa"/>
            <w:noWrap w:val="0"/>
            <w:vAlign w:val="center"/>
          </w:tcPr>
          <w:p>
            <w:pPr>
              <w:jc w:val="center"/>
              <w:rPr>
                <w:rFonts w:ascii="Arial" w:hAnsi="宋体" w:cs="Arial"/>
                <w:b/>
                <w:snapToGrid w:val="0"/>
                <w:color w:val="auto"/>
                <w:kern w:val="0"/>
                <w:sz w:val="22"/>
                <w:highlight w:val="none"/>
              </w:rPr>
            </w:pPr>
            <w:r>
              <w:rPr>
                <w:rFonts w:hint="eastAsia" w:ascii="Arial" w:hAnsi="Arial" w:cs="Arial"/>
                <w:b/>
                <w:snapToGrid w:val="0"/>
                <w:color w:val="auto"/>
                <w:kern w:val="0"/>
                <w:sz w:val="22"/>
                <w:highlight w:val="none"/>
              </w:rPr>
              <w:t>工期（交货期）</w:t>
            </w:r>
          </w:p>
        </w:tc>
        <w:tc>
          <w:tcPr>
            <w:tcW w:w="1150" w:type="dxa"/>
            <w:noWrap w:val="0"/>
            <w:vAlign w:val="center"/>
          </w:tcPr>
          <w:p>
            <w:pPr>
              <w:jc w:val="center"/>
              <w:rPr>
                <w:rFonts w:ascii="Arial" w:hAnsi="Arial" w:cs="Arial"/>
                <w:b/>
                <w:snapToGrid w:val="0"/>
                <w:color w:val="auto"/>
                <w:kern w:val="0"/>
                <w:sz w:val="22"/>
                <w:highlight w:val="none"/>
              </w:rPr>
            </w:pPr>
            <w:r>
              <w:rPr>
                <w:rFonts w:ascii="Arial" w:hAnsi="宋体" w:cs="Arial"/>
                <w:b/>
                <w:snapToGrid w:val="0"/>
                <w:color w:val="auto"/>
                <w:kern w:val="0"/>
                <w:sz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4" w:hRule="exact"/>
        </w:trPr>
        <w:tc>
          <w:tcPr>
            <w:tcW w:w="724" w:type="dxa"/>
            <w:noWrap w:val="0"/>
            <w:vAlign w:val="center"/>
          </w:tcPr>
          <w:p>
            <w:pPr>
              <w:jc w:val="center"/>
              <w:rPr>
                <w:rFonts w:ascii="Arial" w:hAnsi="Arial" w:cs="Arial"/>
                <w:b/>
                <w:snapToGrid w:val="0"/>
                <w:color w:val="auto"/>
                <w:kern w:val="0"/>
                <w:sz w:val="22"/>
                <w:highlight w:val="none"/>
              </w:rPr>
            </w:pPr>
            <w:r>
              <w:rPr>
                <w:rFonts w:ascii="Arial" w:hAnsi="Arial" w:cs="Arial"/>
                <w:b/>
                <w:snapToGrid w:val="0"/>
                <w:color w:val="auto"/>
                <w:kern w:val="0"/>
                <w:sz w:val="22"/>
                <w:highlight w:val="none"/>
              </w:rPr>
              <w:t>1</w:t>
            </w:r>
          </w:p>
        </w:tc>
        <w:tc>
          <w:tcPr>
            <w:tcW w:w="3038" w:type="dxa"/>
            <w:noWrap w:val="0"/>
            <w:vAlign w:val="center"/>
          </w:tcPr>
          <w:p>
            <w:pPr>
              <w:jc w:val="center"/>
              <w:rPr>
                <w:rFonts w:hint="eastAsia" w:ascii="Arial" w:hAnsi="Arial" w:eastAsia="宋体" w:cs="Arial"/>
                <w:b/>
                <w:snapToGrid w:val="0"/>
                <w:color w:val="auto"/>
                <w:kern w:val="0"/>
                <w:sz w:val="22"/>
                <w:highlight w:val="none"/>
                <w:lang w:eastAsia="zh-CN"/>
              </w:rPr>
            </w:pPr>
            <w:r>
              <w:rPr>
                <w:rFonts w:hint="eastAsia" w:ascii="宋体" w:hAnsi="宋体" w:cs="Times New Roman"/>
                <w:bCs/>
                <w:color w:val="auto"/>
                <w:sz w:val="22"/>
                <w:szCs w:val="22"/>
                <w:highlight w:val="none"/>
                <w:lang w:val="en-US" w:eastAsia="zh-CN"/>
              </w:rPr>
              <w:t>平阳县人民医院后勤综合管控系统项目</w:t>
            </w:r>
          </w:p>
        </w:tc>
        <w:tc>
          <w:tcPr>
            <w:tcW w:w="2712" w:type="dxa"/>
            <w:noWrap w:val="0"/>
            <w:vAlign w:val="center"/>
          </w:tcPr>
          <w:p>
            <w:pPr>
              <w:rPr>
                <w:rFonts w:ascii="Arial" w:hAnsi="Arial" w:cs="Arial"/>
                <w:b/>
                <w:snapToGrid w:val="0"/>
                <w:color w:val="auto"/>
                <w:kern w:val="0"/>
                <w:sz w:val="22"/>
                <w:highlight w:val="none"/>
              </w:rPr>
            </w:pPr>
            <w:r>
              <w:rPr>
                <w:rFonts w:ascii="Arial" w:hAnsi="宋体" w:cs="Arial"/>
                <w:b/>
                <w:snapToGrid w:val="0"/>
                <w:color w:val="auto"/>
                <w:kern w:val="0"/>
                <w:sz w:val="22"/>
                <w:highlight w:val="none"/>
              </w:rPr>
              <w:t>大写：</w:t>
            </w:r>
            <w:r>
              <w:rPr>
                <w:rFonts w:ascii="Arial" w:hAnsi="Arial" w:cs="Arial"/>
                <w:b/>
                <w:snapToGrid w:val="0"/>
                <w:color w:val="auto"/>
                <w:kern w:val="0"/>
                <w:sz w:val="22"/>
                <w:highlight w:val="none"/>
              </w:rPr>
              <w:t xml:space="preserve">    </w:t>
            </w:r>
          </w:p>
          <w:p>
            <w:pPr>
              <w:jc w:val="both"/>
              <w:rPr>
                <w:rFonts w:ascii="Arial" w:hAnsi="Arial" w:cs="Arial"/>
                <w:b/>
                <w:snapToGrid w:val="0"/>
                <w:color w:val="auto"/>
                <w:kern w:val="0"/>
                <w:sz w:val="22"/>
                <w:highlight w:val="none"/>
              </w:rPr>
            </w:pPr>
            <w:r>
              <w:rPr>
                <w:rFonts w:ascii="Arial" w:hAnsi="宋体" w:cs="Arial"/>
                <w:b/>
                <w:snapToGrid w:val="0"/>
                <w:color w:val="auto"/>
                <w:kern w:val="0"/>
                <w:sz w:val="22"/>
                <w:highlight w:val="none"/>
              </w:rPr>
              <w:t>小写：</w:t>
            </w:r>
          </w:p>
        </w:tc>
        <w:tc>
          <w:tcPr>
            <w:tcW w:w="2034" w:type="dxa"/>
            <w:noWrap w:val="0"/>
            <w:vAlign w:val="center"/>
          </w:tcPr>
          <w:p>
            <w:pPr>
              <w:jc w:val="center"/>
              <w:rPr>
                <w:rFonts w:ascii="Arial" w:hAnsi="Arial" w:cs="Arial"/>
                <w:b/>
                <w:snapToGrid w:val="0"/>
                <w:color w:val="auto"/>
                <w:kern w:val="0"/>
                <w:sz w:val="22"/>
                <w:highlight w:val="none"/>
              </w:rPr>
            </w:pPr>
          </w:p>
        </w:tc>
        <w:tc>
          <w:tcPr>
            <w:tcW w:w="1150" w:type="dxa"/>
            <w:noWrap w:val="0"/>
            <w:vAlign w:val="center"/>
          </w:tcPr>
          <w:p>
            <w:pPr>
              <w:jc w:val="center"/>
              <w:rPr>
                <w:rFonts w:ascii="Arial" w:hAnsi="Arial" w:cs="Arial"/>
                <w:b/>
                <w:snapToGrid w:val="0"/>
                <w:color w:val="auto"/>
                <w:kern w:val="0"/>
                <w:sz w:val="22"/>
                <w:highlight w:val="none"/>
              </w:rPr>
            </w:pPr>
          </w:p>
        </w:tc>
      </w:tr>
    </w:tbl>
    <w:p>
      <w:pPr>
        <w:autoSpaceDE w:val="0"/>
        <w:autoSpaceDN w:val="0"/>
        <w:adjustRightInd w:val="0"/>
        <w:spacing w:line="460" w:lineRule="atLeast"/>
        <w:ind w:left="550" w:hanging="550" w:hangingChars="250"/>
        <w:rPr>
          <w:rFonts w:ascii="宋体" w:cs="Arial"/>
          <w:color w:val="auto"/>
          <w:sz w:val="22"/>
          <w:highlight w:val="none"/>
          <w:lang w:val="zh-CN"/>
        </w:rPr>
      </w:pPr>
    </w:p>
    <w:p>
      <w:pPr>
        <w:autoSpaceDE w:val="0"/>
        <w:autoSpaceDN w:val="0"/>
        <w:adjustRightInd w:val="0"/>
        <w:spacing w:line="460" w:lineRule="atLeast"/>
        <w:ind w:left="550" w:hanging="550" w:hangingChars="250"/>
        <w:rPr>
          <w:rFonts w:ascii="宋体" w:cs="宋体"/>
          <w:b/>
          <w:bCs/>
          <w:color w:val="auto"/>
          <w:sz w:val="22"/>
          <w:highlight w:val="none"/>
          <w:u w:val="single"/>
        </w:rPr>
      </w:pPr>
      <w:r>
        <w:rPr>
          <w:rFonts w:ascii="宋体" w:cs="Arial"/>
          <w:color w:val="auto"/>
          <w:sz w:val="22"/>
          <w:highlight w:val="none"/>
          <w:lang w:val="zh-CN"/>
        </w:rPr>
        <w:t>注：</w:t>
      </w:r>
      <w:r>
        <w:rPr>
          <w:rFonts w:hint="eastAsia" w:ascii="宋体" w:cs="Arial"/>
          <w:color w:val="auto"/>
          <w:sz w:val="22"/>
          <w:highlight w:val="none"/>
          <w:lang w:val="zh-CN"/>
        </w:rPr>
        <w:t xml:space="preserve"> 1</w:t>
      </w:r>
      <w:r>
        <w:rPr>
          <w:rFonts w:ascii="宋体" w:cs="Arial"/>
          <w:color w:val="auto"/>
          <w:sz w:val="22"/>
          <w:highlight w:val="none"/>
          <w:lang w:val="zh-CN"/>
        </w:rPr>
        <w:t>．投标总价</w:t>
      </w:r>
      <w:r>
        <w:rPr>
          <w:rFonts w:hint="eastAsia" w:ascii="宋体" w:cs="Arial"/>
          <w:color w:val="auto"/>
          <w:sz w:val="22"/>
          <w:highlight w:val="none"/>
          <w:lang w:val="zh-CN"/>
        </w:rPr>
        <w:t>为符合招标文件要求的所有费用。</w:t>
      </w:r>
      <w:r>
        <w:rPr>
          <w:rFonts w:ascii="宋体" w:cs="宋体"/>
          <w:color w:val="auto"/>
          <w:sz w:val="22"/>
          <w:highlight w:val="none"/>
        </w:rPr>
        <w:br w:type="textWrapping"/>
      </w:r>
      <w:r>
        <w:rPr>
          <w:rFonts w:hint="eastAsia" w:ascii="宋体" w:cs="宋体"/>
          <w:b/>
          <w:bCs/>
          <w:color w:val="auto"/>
          <w:sz w:val="22"/>
          <w:highlight w:val="none"/>
        </w:rPr>
        <w:t>2</w:t>
      </w:r>
      <w:r>
        <w:rPr>
          <w:rFonts w:ascii="宋体" w:cs="宋体"/>
          <w:b/>
          <w:bCs/>
          <w:color w:val="auto"/>
          <w:sz w:val="22"/>
          <w:highlight w:val="none"/>
        </w:rPr>
        <w:t>.</w:t>
      </w:r>
      <w:r>
        <w:rPr>
          <w:rFonts w:hint="eastAsia" w:ascii="宋体" w:cs="宋体"/>
          <w:b/>
          <w:bCs/>
          <w:color w:val="auto"/>
          <w:sz w:val="22"/>
          <w:highlight w:val="none"/>
        </w:rPr>
        <w:t xml:space="preserve"> </w:t>
      </w:r>
      <w:r>
        <w:rPr>
          <w:rFonts w:hint="eastAsia" w:ascii="宋体" w:hAnsi="宋体" w:cs="宋体"/>
          <w:b/>
          <w:bCs/>
          <w:color w:val="auto"/>
          <w:szCs w:val="21"/>
          <w:highlight w:val="none"/>
        </w:rPr>
        <w:t>▲</w:t>
      </w:r>
      <w:r>
        <w:rPr>
          <w:rFonts w:ascii="宋体" w:cs="宋体"/>
          <w:b/>
          <w:bCs/>
          <w:color w:val="auto"/>
          <w:sz w:val="22"/>
          <w:highlight w:val="none"/>
          <w:u w:val="single"/>
        </w:rPr>
        <w:t>不提供此表格将被视为没有实质性响应招标文件。</w:t>
      </w:r>
    </w:p>
    <w:p>
      <w:pPr>
        <w:autoSpaceDE w:val="0"/>
        <w:autoSpaceDN w:val="0"/>
        <w:adjustRightInd w:val="0"/>
        <w:spacing w:line="460" w:lineRule="atLeast"/>
        <w:ind w:firstLine="440" w:firstLineChars="200"/>
        <w:rPr>
          <w:rFonts w:hint="eastAsia" w:ascii="宋体" w:cs="Arial"/>
          <w:color w:val="auto"/>
          <w:sz w:val="22"/>
          <w:highlight w:val="none"/>
          <w:lang w:val="zh-CN"/>
        </w:rPr>
      </w:pPr>
      <w:r>
        <w:rPr>
          <w:rFonts w:hint="eastAsia" w:ascii="宋体" w:cs="Arial"/>
          <w:color w:val="auto"/>
          <w:sz w:val="22"/>
          <w:highlight w:val="none"/>
          <w:lang w:val="en-US" w:eastAsia="zh-CN"/>
        </w:rPr>
        <w:t>3.</w:t>
      </w:r>
      <w:r>
        <w:rPr>
          <w:rFonts w:hint="eastAsia" w:ascii="宋体" w:cs="Arial"/>
          <w:color w:val="auto"/>
          <w:sz w:val="22"/>
          <w:highlight w:val="none"/>
          <w:lang w:val="zh-CN"/>
        </w:rPr>
        <w:t>中标人在正确地完全履行合同义务后采购人应支付给中标人所有的服务价款，货物款、专用工具、税金、包装、运输、保险、装卸就位、验收（含第三方验收）、技术服务、运营维护、售后服务、材料、质保期保障、采购代理服务费等全部费用,投标供应商应根据上述因素自行考虑含入投标总价。实行固定费用总包干，投标人应根据上述因素自行考虑含入投标总价。</w:t>
      </w:r>
    </w:p>
    <w:p>
      <w:pPr>
        <w:autoSpaceDE w:val="0"/>
        <w:autoSpaceDN w:val="0"/>
        <w:adjustRightInd w:val="0"/>
        <w:spacing w:line="460" w:lineRule="atLeast"/>
        <w:rPr>
          <w:rFonts w:hint="eastAsia" w:ascii="宋体" w:cs="Arial"/>
          <w:color w:val="auto"/>
          <w:sz w:val="22"/>
          <w:highlight w:val="none"/>
          <w:lang w:val="zh-CN"/>
        </w:rPr>
      </w:pPr>
    </w:p>
    <w:p>
      <w:pPr>
        <w:autoSpaceDE w:val="0"/>
        <w:autoSpaceDN w:val="0"/>
        <w:adjustRightInd w:val="0"/>
        <w:spacing w:line="440" w:lineRule="atLeast"/>
        <w:rPr>
          <w:rFonts w:hint="eastAsia" w:cs="仿宋_GB2312"/>
          <w:color w:val="auto"/>
          <w:sz w:val="22"/>
          <w:szCs w:val="22"/>
          <w:highlight w:val="none"/>
          <w:lang w:val="zh-CN"/>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0"/>
        <w:spacing w:line="640" w:lineRule="exact"/>
        <w:rPr>
          <w:rFonts w:hint="eastAsia" w:hAnsi="宋体"/>
          <w:color w:val="auto"/>
          <w:sz w:val="22"/>
          <w:szCs w:val="22"/>
          <w:highlight w:val="none"/>
        </w:rPr>
      </w:pPr>
    </w:p>
    <w:p>
      <w:pPr>
        <w:pStyle w:val="10"/>
        <w:adjustRightInd w:val="0"/>
        <w:snapToGrid w:val="0"/>
        <w:spacing w:line="400" w:lineRule="exact"/>
        <w:rPr>
          <w:rFonts w:hint="eastAsia" w:hAnsi="宋体"/>
          <w:color w:val="auto"/>
          <w:sz w:val="36"/>
          <w:szCs w:val="36"/>
          <w:highlight w:val="none"/>
        </w:rPr>
      </w:pPr>
    </w:p>
    <w:p>
      <w:pPr>
        <w:pStyle w:val="10"/>
        <w:adjustRightInd w:val="0"/>
        <w:snapToGrid w:val="0"/>
        <w:spacing w:line="400" w:lineRule="exact"/>
        <w:rPr>
          <w:rFonts w:hint="eastAsia" w:hAnsi="宋体"/>
          <w:color w:val="auto"/>
          <w:sz w:val="36"/>
          <w:szCs w:val="36"/>
          <w:highlight w:val="none"/>
        </w:rPr>
      </w:pPr>
    </w:p>
    <w:p>
      <w:pPr>
        <w:pStyle w:val="10"/>
        <w:adjustRightInd w:val="0"/>
        <w:snapToGrid w:val="0"/>
        <w:spacing w:line="400" w:lineRule="exact"/>
        <w:rPr>
          <w:rFonts w:hint="eastAsia" w:hAnsi="宋体"/>
          <w:color w:val="auto"/>
          <w:sz w:val="36"/>
          <w:szCs w:val="36"/>
          <w:highlight w:val="none"/>
        </w:rPr>
      </w:pPr>
    </w:p>
    <w:p>
      <w:pPr>
        <w:pStyle w:val="10"/>
        <w:adjustRightInd w:val="0"/>
        <w:snapToGrid w:val="0"/>
        <w:spacing w:line="400" w:lineRule="exact"/>
        <w:rPr>
          <w:rFonts w:hint="eastAsia" w:hAnsi="宋体"/>
          <w:color w:val="auto"/>
          <w:sz w:val="36"/>
          <w:szCs w:val="36"/>
          <w:highlight w:val="none"/>
        </w:rPr>
      </w:pPr>
    </w:p>
    <w:p>
      <w:pPr>
        <w:pStyle w:val="10"/>
        <w:adjustRightInd w:val="0"/>
        <w:snapToGrid w:val="0"/>
        <w:spacing w:line="400" w:lineRule="exact"/>
        <w:rPr>
          <w:rFonts w:hint="eastAsia" w:hAnsi="宋体"/>
          <w:color w:val="auto"/>
          <w:sz w:val="36"/>
          <w:szCs w:val="36"/>
          <w:highlight w:val="none"/>
        </w:rPr>
      </w:pPr>
    </w:p>
    <w:p>
      <w:pPr>
        <w:pStyle w:val="11"/>
        <w:rPr>
          <w:rFonts w:hint="eastAsia" w:hAnsi="宋体"/>
          <w:color w:val="auto"/>
          <w:sz w:val="36"/>
          <w:szCs w:val="36"/>
          <w:highlight w:val="none"/>
        </w:rPr>
      </w:pPr>
    </w:p>
    <w:p>
      <w:pPr>
        <w:pStyle w:val="10"/>
        <w:adjustRightInd w:val="0"/>
        <w:snapToGrid w:val="0"/>
        <w:spacing w:line="400" w:lineRule="exact"/>
        <w:rPr>
          <w:rFonts w:hint="eastAsia" w:hAnsi="宋体"/>
          <w:color w:val="auto"/>
          <w:sz w:val="36"/>
          <w:szCs w:val="36"/>
          <w:highlight w:val="none"/>
        </w:rPr>
      </w:pPr>
    </w:p>
    <w:p>
      <w:pPr>
        <w:pStyle w:val="10"/>
        <w:adjustRightInd w:val="0"/>
        <w:snapToGrid w:val="0"/>
        <w:spacing w:line="400" w:lineRule="exact"/>
        <w:rPr>
          <w:rFonts w:hint="eastAsia" w:hAnsi="宋体"/>
          <w:color w:val="auto"/>
          <w:sz w:val="36"/>
          <w:szCs w:val="36"/>
          <w:highlight w:val="none"/>
        </w:rPr>
      </w:pPr>
      <w:r>
        <w:rPr>
          <w:rFonts w:hint="eastAsia" w:hAnsi="宋体"/>
          <w:color w:val="auto"/>
          <w:sz w:val="36"/>
          <w:szCs w:val="36"/>
          <w:highlight w:val="none"/>
        </w:rPr>
        <w:t>2.</w:t>
      </w:r>
      <w:r>
        <w:rPr>
          <w:rFonts w:hint="eastAsia" w:hAnsi="宋体"/>
          <w:color w:val="auto"/>
          <w:sz w:val="36"/>
          <w:szCs w:val="36"/>
          <w:highlight w:val="none"/>
          <w:lang w:val="en-US" w:eastAsia="zh-CN"/>
        </w:rPr>
        <w:t>4</w:t>
      </w:r>
      <w:r>
        <w:rPr>
          <w:rFonts w:hint="eastAsia" w:hAnsi="宋体"/>
          <w:color w:val="auto"/>
          <w:sz w:val="36"/>
          <w:szCs w:val="36"/>
          <w:highlight w:val="none"/>
          <w:lang w:eastAsia="zh-CN"/>
        </w:rPr>
        <w:t>投标分项报价表</w:t>
      </w:r>
      <w:r>
        <w:rPr>
          <w:rFonts w:hAnsi="宋体"/>
          <w:color w:val="auto"/>
          <w:sz w:val="36"/>
          <w:szCs w:val="36"/>
          <w:highlight w:val="none"/>
        </w:rPr>
        <w:t xml:space="preserve"> </w:t>
      </w:r>
      <w:r>
        <w:rPr>
          <w:rFonts w:hint="eastAsia" w:hAnsi="宋体"/>
          <w:color w:val="auto"/>
          <w:sz w:val="36"/>
          <w:szCs w:val="36"/>
          <w:highlight w:val="none"/>
        </w:rPr>
        <w:t xml:space="preserve">   </w:t>
      </w:r>
    </w:p>
    <w:p>
      <w:pPr>
        <w:pStyle w:val="10"/>
        <w:adjustRightInd w:val="0"/>
        <w:snapToGrid w:val="0"/>
        <w:spacing w:line="400" w:lineRule="exact"/>
        <w:jc w:val="center"/>
        <w:rPr>
          <w:rFonts w:hint="eastAsia" w:hAnsi="宋体"/>
          <w:color w:val="auto"/>
          <w:sz w:val="36"/>
          <w:szCs w:val="36"/>
          <w:highlight w:val="none"/>
        </w:rPr>
      </w:pPr>
    </w:p>
    <w:p>
      <w:pPr>
        <w:spacing w:line="360" w:lineRule="auto"/>
        <w:jc w:val="center"/>
        <w:rPr>
          <w:rFonts w:hint="eastAsia" w:ascii="新宋体" w:hAnsi="新宋体" w:eastAsia="新宋体"/>
          <w:b/>
          <w:color w:val="auto"/>
          <w:sz w:val="22"/>
          <w:szCs w:val="22"/>
          <w:highlight w:val="none"/>
        </w:rPr>
      </w:pPr>
      <w:r>
        <w:rPr>
          <w:rFonts w:hint="eastAsia" w:ascii="华文中宋" w:hAnsi="华文中宋" w:eastAsia="华文中宋" w:cs="Arial"/>
          <w:b/>
          <w:color w:val="auto"/>
          <w:sz w:val="44"/>
          <w:szCs w:val="44"/>
          <w:highlight w:val="none"/>
          <w:lang w:eastAsia="zh-CN"/>
        </w:rPr>
        <w:t>投标分项报价表</w:t>
      </w:r>
    </w:p>
    <w:tbl>
      <w:tblPr>
        <w:tblStyle w:val="21"/>
        <w:tblpPr w:leftFromText="180" w:rightFromText="180" w:vertAnchor="text" w:horzAnchor="page" w:tblpX="1530" w:tblpY="743"/>
        <w:tblOverlap w:val="never"/>
        <w:tblW w:w="48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
        <w:gridCol w:w="2455"/>
        <w:gridCol w:w="885"/>
        <w:gridCol w:w="653"/>
        <w:gridCol w:w="1685"/>
        <w:gridCol w:w="947"/>
        <w:gridCol w:w="947"/>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52"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序号</w:t>
            </w:r>
          </w:p>
          <w:p>
            <w:pPr>
              <w:spacing w:line="400" w:lineRule="exact"/>
              <w:jc w:val="center"/>
              <w:rPr>
                <w:rFonts w:ascii="新宋体" w:hAnsi="新宋体" w:eastAsia="新宋体"/>
                <w:color w:val="auto"/>
                <w:sz w:val="22"/>
                <w:szCs w:val="22"/>
                <w:highlight w:val="none"/>
              </w:rPr>
            </w:pPr>
          </w:p>
        </w:tc>
        <w:tc>
          <w:tcPr>
            <w:tcW w:w="133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项目内容</w:t>
            </w:r>
          </w:p>
        </w:tc>
        <w:tc>
          <w:tcPr>
            <w:tcW w:w="481"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数量</w:t>
            </w:r>
          </w:p>
        </w:tc>
        <w:tc>
          <w:tcPr>
            <w:tcW w:w="35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单位</w:t>
            </w:r>
          </w:p>
        </w:tc>
        <w:tc>
          <w:tcPr>
            <w:tcW w:w="91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品牌型号规格</w:t>
            </w:r>
          </w:p>
        </w:tc>
        <w:tc>
          <w:tcPr>
            <w:tcW w:w="51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单价（元）</w:t>
            </w:r>
          </w:p>
        </w:tc>
        <w:tc>
          <w:tcPr>
            <w:tcW w:w="51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合价（元）</w:t>
            </w:r>
          </w:p>
        </w:tc>
        <w:tc>
          <w:tcPr>
            <w:tcW w:w="629"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52"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133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481"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35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91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51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51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629"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spacing w:line="400" w:lineRule="exact"/>
              <w:jc w:val="center"/>
              <w:rPr>
                <w:rFonts w:ascii="新宋体" w:hAnsi="新宋体" w:eastAsia="新宋体"/>
                <w:color w:val="auto"/>
                <w:sz w:val="22"/>
                <w:szCs w:val="22"/>
                <w:highlight w:val="none"/>
              </w:rPr>
            </w:pPr>
          </w:p>
        </w:tc>
        <w:tc>
          <w:tcPr>
            <w:tcW w:w="481" w:type="pct"/>
            <w:noWrap w:val="0"/>
            <w:vAlign w:val="center"/>
          </w:tcPr>
          <w:p>
            <w:pPr>
              <w:spacing w:line="400" w:lineRule="exact"/>
              <w:jc w:val="center"/>
              <w:rPr>
                <w:rFonts w:ascii="新宋体" w:hAnsi="新宋体" w:eastAsia="新宋体"/>
                <w:color w:val="auto"/>
                <w:sz w:val="22"/>
                <w:szCs w:val="22"/>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spacing w:line="400" w:lineRule="exact"/>
              <w:jc w:val="center"/>
              <w:rPr>
                <w:rFonts w:ascii="新宋体" w:hAnsi="新宋体" w:eastAsia="新宋体"/>
                <w:color w:val="auto"/>
                <w:sz w:val="22"/>
                <w:szCs w:val="22"/>
                <w:highlight w:val="none"/>
              </w:rPr>
            </w:pPr>
          </w:p>
        </w:tc>
        <w:tc>
          <w:tcPr>
            <w:tcW w:w="481" w:type="pct"/>
            <w:noWrap w:val="0"/>
            <w:vAlign w:val="center"/>
          </w:tcPr>
          <w:p>
            <w:pPr>
              <w:spacing w:line="400" w:lineRule="exact"/>
              <w:jc w:val="center"/>
              <w:rPr>
                <w:rFonts w:ascii="新宋体" w:hAnsi="新宋体" w:eastAsia="新宋体"/>
                <w:color w:val="auto"/>
                <w:sz w:val="22"/>
                <w:szCs w:val="22"/>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方正仿宋_GBK" w:eastAsia="方正仿宋_GBK"/>
                <w:b/>
                <w:color w:val="auto"/>
                <w:sz w:val="22"/>
                <w:szCs w:val="22"/>
                <w:highlight w:val="none"/>
              </w:rPr>
            </w:pPr>
          </w:p>
        </w:tc>
        <w:tc>
          <w:tcPr>
            <w:tcW w:w="3087" w:type="pct"/>
            <w:gridSpan w:val="4"/>
            <w:noWrap w:val="0"/>
            <w:vAlign w:val="center"/>
          </w:tcPr>
          <w:p>
            <w:pPr>
              <w:spacing w:line="400" w:lineRule="exact"/>
              <w:jc w:val="center"/>
              <w:rPr>
                <w:rFonts w:ascii="新宋体" w:hAnsi="新宋体" w:eastAsia="新宋体"/>
                <w:color w:val="auto"/>
                <w:sz w:val="22"/>
                <w:szCs w:val="22"/>
                <w:highlight w:val="none"/>
              </w:rPr>
            </w:pPr>
            <w:r>
              <w:rPr>
                <w:rFonts w:hint="eastAsia" w:ascii="方正仿宋_GBK" w:eastAsia="方正仿宋_GBK"/>
                <w:b/>
                <w:color w:val="auto"/>
                <w:sz w:val="22"/>
                <w:szCs w:val="22"/>
                <w:highlight w:val="none"/>
              </w:rPr>
              <w:t>总</w:t>
            </w:r>
            <w:r>
              <w:rPr>
                <w:rFonts w:ascii="方正仿宋_GBK" w:eastAsia="方正仿宋_GBK"/>
                <w:b/>
                <w:color w:val="auto"/>
                <w:sz w:val="22"/>
                <w:szCs w:val="22"/>
                <w:highlight w:val="none"/>
              </w:rPr>
              <w:t>合计</w:t>
            </w:r>
          </w:p>
        </w:tc>
        <w:tc>
          <w:tcPr>
            <w:tcW w:w="1659" w:type="pct"/>
            <w:gridSpan w:val="3"/>
            <w:noWrap w:val="0"/>
            <w:vAlign w:val="center"/>
          </w:tcPr>
          <w:p>
            <w:pPr>
              <w:spacing w:line="400" w:lineRule="exact"/>
              <w:jc w:val="center"/>
              <w:rPr>
                <w:rFonts w:ascii="新宋体" w:hAnsi="新宋体" w:eastAsia="新宋体"/>
                <w:color w:val="auto"/>
                <w:sz w:val="22"/>
                <w:szCs w:val="22"/>
                <w:highlight w:val="none"/>
              </w:rPr>
            </w:pPr>
          </w:p>
        </w:tc>
      </w:tr>
    </w:tbl>
    <w:p>
      <w:pPr>
        <w:spacing w:line="240" w:lineRule="auto"/>
        <w:rPr>
          <w:rFonts w:hint="default" w:ascii="宋体" w:eastAsia="宋体" w:cs="Arial"/>
          <w:color w:val="auto"/>
          <w:sz w:val="22"/>
          <w:highlight w:val="none"/>
          <w:lang w:val="en-US" w:eastAsia="zh-CN"/>
        </w:rPr>
      </w:pPr>
      <w:r>
        <w:rPr>
          <w:rFonts w:ascii="宋体" w:cs="Arial"/>
          <w:color w:val="auto"/>
          <w:sz w:val="22"/>
          <w:highlight w:val="none"/>
          <w:lang w:val="zh-CN"/>
        </w:rPr>
        <w:t>供应商名称：</w:t>
      </w:r>
      <w:r>
        <w:rPr>
          <w:rFonts w:ascii="宋体" w:cs="Arial"/>
          <w:color w:val="auto"/>
          <w:sz w:val="22"/>
          <w:highlight w:val="none"/>
          <w:u w:val="single"/>
          <w:lang w:val="zh-CN"/>
        </w:rPr>
        <w:t xml:space="preserve">             </w:t>
      </w:r>
      <w:r>
        <w:rPr>
          <w:rFonts w:ascii="宋体" w:cs="Arial"/>
          <w:color w:val="auto"/>
          <w:sz w:val="22"/>
          <w:highlight w:val="none"/>
          <w:lang w:val="zh-CN"/>
        </w:rPr>
        <w:t xml:space="preserve">     采购编号：</w:t>
      </w:r>
      <w:r>
        <w:rPr>
          <w:rFonts w:ascii="宋体" w:cs="Arial"/>
          <w:color w:val="auto"/>
          <w:sz w:val="22"/>
          <w:highlight w:val="none"/>
          <w:u w:val="single"/>
          <w:lang w:val="zh-CN"/>
        </w:rPr>
        <w:t xml:space="preserve">         </w:t>
      </w:r>
      <w:r>
        <w:rPr>
          <w:rFonts w:ascii="宋体" w:cs="Arial"/>
          <w:color w:val="auto"/>
          <w:sz w:val="22"/>
          <w:highlight w:val="none"/>
          <w:lang w:val="zh-CN"/>
        </w:rPr>
        <w:t xml:space="preserve">    </w:t>
      </w:r>
      <w:r>
        <w:rPr>
          <w:rFonts w:hint="eastAsia" w:ascii="宋体" w:cs="Arial"/>
          <w:color w:val="auto"/>
          <w:sz w:val="22"/>
          <w:highlight w:val="none"/>
          <w:lang w:val="zh-CN"/>
        </w:rPr>
        <w:t xml:space="preserve">       </w:t>
      </w:r>
      <w:r>
        <w:rPr>
          <w:rFonts w:ascii="宋体" w:cs="Arial"/>
          <w:color w:val="auto"/>
          <w:sz w:val="22"/>
          <w:highlight w:val="none"/>
          <w:lang w:val="zh-CN"/>
        </w:rPr>
        <w:t>报价单位：</w:t>
      </w:r>
      <w:r>
        <w:rPr>
          <w:rFonts w:hint="eastAsia" w:cs="Arial"/>
          <w:color w:val="auto"/>
          <w:sz w:val="22"/>
          <w:highlight w:val="none"/>
          <w:lang w:val="en-US" w:eastAsia="zh-CN"/>
        </w:rPr>
        <w:t>元/人民币</w:t>
      </w:r>
    </w:p>
    <w:p>
      <w:pPr>
        <w:spacing w:line="240" w:lineRule="auto"/>
        <w:rPr>
          <w:rFonts w:ascii="宋体" w:cs="Arial"/>
          <w:color w:val="auto"/>
          <w:sz w:val="22"/>
          <w:highlight w:val="none"/>
          <w:lang w:val="zh-CN"/>
        </w:rPr>
      </w:pPr>
    </w:p>
    <w:p>
      <w:pPr>
        <w:spacing w:line="240" w:lineRule="auto"/>
        <w:rPr>
          <w:rFonts w:ascii="新宋体" w:hAnsi="新宋体" w:eastAsia="新宋体"/>
          <w:color w:val="auto"/>
          <w:sz w:val="22"/>
          <w:szCs w:val="22"/>
          <w:highlight w:val="none"/>
        </w:rPr>
      </w:pPr>
      <w:r>
        <w:rPr>
          <w:rFonts w:hint="eastAsia" w:ascii="新宋体" w:hAnsi="新宋体" w:eastAsia="新宋体"/>
          <w:color w:val="auto"/>
          <w:sz w:val="22"/>
          <w:szCs w:val="22"/>
          <w:highlight w:val="none"/>
          <w:lang w:val="en-US" w:eastAsia="zh-CN"/>
        </w:rPr>
        <w:t>注：</w:t>
      </w:r>
      <w:r>
        <w:rPr>
          <w:rFonts w:hint="eastAsia" w:ascii="新宋体" w:hAnsi="新宋体" w:eastAsia="新宋体"/>
          <w:color w:val="auto"/>
          <w:sz w:val="22"/>
          <w:szCs w:val="22"/>
          <w:highlight w:val="none"/>
        </w:rPr>
        <w:t>1.不提供详细分项报价将视为没有实质性响应采购文件。</w:t>
      </w:r>
    </w:p>
    <w:p>
      <w:pPr>
        <w:spacing w:line="240" w:lineRule="auto"/>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2.此表的</w:t>
      </w:r>
      <w:r>
        <w:rPr>
          <w:rFonts w:hint="eastAsia" w:ascii="新宋体" w:hAnsi="新宋体" w:eastAsia="新宋体"/>
          <w:bCs/>
          <w:color w:val="auto"/>
          <w:sz w:val="22"/>
          <w:szCs w:val="22"/>
          <w:highlight w:val="none"/>
        </w:rPr>
        <w:t>总计</w:t>
      </w:r>
      <w:r>
        <w:rPr>
          <w:rFonts w:hint="eastAsia" w:ascii="新宋体" w:hAnsi="新宋体" w:eastAsia="新宋体"/>
          <w:color w:val="auto"/>
          <w:sz w:val="22"/>
          <w:szCs w:val="22"/>
          <w:highlight w:val="none"/>
        </w:rPr>
        <w:t>价应与报价一览表投标报价相一致。</w:t>
      </w:r>
    </w:p>
    <w:p>
      <w:pPr>
        <w:autoSpaceDE w:val="0"/>
        <w:autoSpaceDN w:val="0"/>
        <w:adjustRightInd w:val="0"/>
        <w:spacing w:after="240" w:afterLines="100" w:line="240" w:lineRule="auto"/>
        <w:jc w:val="left"/>
        <w:rPr>
          <w:rFonts w:hint="eastAsia" w:ascii="宋体" w:cs="宋体"/>
          <w:color w:val="auto"/>
          <w:sz w:val="22"/>
          <w:highlight w:val="none"/>
          <w:u w:val="single"/>
        </w:rPr>
      </w:pPr>
      <w:r>
        <w:rPr>
          <w:rFonts w:hint="eastAsia" w:ascii="新宋体" w:hAnsi="新宋体" w:eastAsia="新宋体"/>
          <w:color w:val="auto"/>
          <w:sz w:val="22"/>
          <w:szCs w:val="22"/>
          <w:highlight w:val="none"/>
        </w:rPr>
        <w:t>3.如果免费请在该备注栏内注明“免”，如果含在产品价格中则填“含”，如无此项内容则填“无”，不留空白。</w:t>
      </w:r>
    </w:p>
    <w:p>
      <w:pPr>
        <w:autoSpaceDE w:val="0"/>
        <w:autoSpaceDN w:val="0"/>
        <w:adjustRightInd w:val="0"/>
        <w:spacing w:line="440" w:lineRule="atLeast"/>
        <w:rPr>
          <w:rFonts w:hint="eastAsia" w:cs="仿宋_GB2312"/>
          <w:color w:val="auto"/>
          <w:sz w:val="22"/>
          <w:szCs w:val="22"/>
          <w:highlight w:val="none"/>
          <w:lang w:val="zh-CN"/>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autoSpaceDE w:val="0"/>
        <w:autoSpaceDN w:val="0"/>
        <w:adjustRightInd w:val="0"/>
        <w:spacing w:line="460" w:lineRule="atLeast"/>
        <w:rPr>
          <w:rFonts w:hint="eastAsia"/>
          <w:b/>
          <w:color w:val="auto"/>
          <w:sz w:val="30"/>
          <w:highlight w:val="none"/>
          <w:lang w:val="zh-CN"/>
        </w:rPr>
      </w:pPr>
    </w:p>
    <w:p>
      <w:pPr>
        <w:pStyle w:val="19"/>
        <w:jc w:val="both"/>
        <w:rPr>
          <w:rFonts w:hint="eastAsia"/>
          <w:b w:val="0"/>
          <w:color w:val="auto"/>
          <w:sz w:val="30"/>
          <w:highlight w:val="none"/>
          <w:lang w:val="zh-CN"/>
        </w:rPr>
      </w:pPr>
    </w:p>
    <w:p>
      <w:pPr>
        <w:rPr>
          <w:rFonts w:hint="eastAsia"/>
          <w:b/>
          <w:color w:val="auto"/>
          <w:sz w:val="30"/>
          <w:highlight w:val="none"/>
          <w:lang w:val="zh-CN"/>
        </w:rPr>
      </w:pPr>
    </w:p>
    <w:p>
      <w:pPr>
        <w:spacing w:before="156" w:after="156"/>
        <w:jc w:val="left"/>
        <w:outlineLvl w:val="9"/>
        <w:rPr>
          <w:rFonts w:hint="eastAsia" w:ascii="宋体" w:hAnsi="宋体" w:cs="宋体"/>
          <w:b/>
          <w:bCs/>
          <w:color w:val="auto"/>
          <w:sz w:val="28"/>
          <w:szCs w:val="28"/>
          <w:highlight w:val="none"/>
        </w:rPr>
      </w:pPr>
      <w:r>
        <w:rPr>
          <w:rFonts w:hint="eastAsia"/>
          <w:color w:val="auto"/>
          <w:sz w:val="36"/>
          <w:szCs w:val="36"/>
          <w:highlight w:val="none"/>
        </w:rPr>
        <w:t>2.</w:t>
      </w:r>
      <w:r>
        <w:rPr>
          <w:rFonts w:hint="eastAsia"/>
          <w:color w:val="auto"/>
          <w:sz w:val="36"/>
          <w:szCs w:val="36"/>
          <w:highlight w:val="none"/>
          <w:lang w:val="en-US" w:eastAsia="zh-CN"/>
        </w:rPr>
        <w:t>5</w:t>
      </w:r>
      <w:r>
        <w:rPr>
          <w:rFonts w:hint="eastAsia" w:ascii="宋体" w:hAnsi="宋体" w:cs="宋体"/>
          <w:b/>
          <w:bCs/>
          <w:color w:val="auto"/>
          <w:sz w:val="28"/>
          <w:szCs w:val="28"/>
          <w:highlight w:val="none"/>
        </w:rPr>
        <w:t>设备零件、易损件、备品备件报价表</w:t>
      </w:r>
    </w:p>
    <w:p>
      <w:pPr>
        <w:spacing w:before="156" w:after="156"/>
        <w:jc w:val="center"/>
        <w:outlineLvl w:val="9"/>
        <w:rPr>
          <w:rFonts w:hint="eastAsia"/>
          <w:color w:val="auto"/>
          <w:highlight w:val="none"/>
        </w:rPr>
      </w:pPr>
      <w:r>
        <w:rPr>
          <w:rFonts w:hint="eastAsia" w:ascii="宋体" w:hAnsi="宋体" w:cs="宋体"/>
          <w:b/>
          <w:bCs/>
          <w:color w:val="auto"/>
          <w:sz w:val="28"/>
          <w:szCs w:val="28"/>
          <w:highlight w:val="none"/>
        </w:rPr>
        <w:t>设备零件、易损件、备品备件报价表</w:t>
      </w:r>
    </w:p>
    <w:p>
      <w:pPr>
        <w:spacing w:line="460" w:lineRule="exact"/>
        <w:rPr>
          <w:rFonts w:ascii="宋体" w:cs="宋体"/>
          <w:color w:val="auto"/>
          <w:szCs w:val="21"/>
          <w:highlight w:val="none"/>
        </w:rPr>
      </w:pPr>
      <w:r>
        <w:rPr>
          <w:rFonts w:hint="eastAsia" w:ascii="宋体" w:hAnsi="宋体" w:cs="宋体"/>
          <w:b/>
          <w:color w:val="auto"/>
          <w:szCs w:val="21"/>
          <w:highlight w:val="none"/>
        </w:rPr>
        <w:t>项目名称：</w:t>
      </w:r>
      <w:r>
        <w:rPr>
          <w:rFonts w:ascii="宋体" w:hAnsi="宋体" w:cs="宋体"/>
          <w:b/>
          <w:color w:val="auto"/>
          <w:szCs w:val="21"/>
          <w:highlight w:val="none"/>
        </w:rPr>
        <w:t xml:space="preserve"> </w:t>
      </w:r>
      <w:r>
        <w:rPr>
          <w:rFonts w:hint="eastAsia" w:ascii="宋体" w:hAnsi="宋体" w:cs="宋体"/>
          <w:b/>
          <w:color w:val="auto"/>
          <w:szCs w:val="21"/>
          <w:highlight w:val="none"/>
        </w:rPr>
        <w:t xml:space="preserve">                                              项目编号：</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1801"/>
        <w:gridCol w:w="2222"/>
        <w:gridCol w:w="1215"/>
        <w:gridCol w:w="1216"/>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928" w:type="dxa"/>
            <w:noWrap w:val="0"/>
            <w:vAlign w:val="center"/>
          </w:tcPr>
          <w:p>
            <w:pPr>
              <w:pStyle w:val="10"/>
              <w:snapToGrid w:val="0"/>
              <w:spacing w:line="400" w:lineRule="exact"/>
              <w:jc w:val="center"/>
              <w:rPr>
                <w:rFonts w:hAnsi="宋体" w:cs="宋体"/>
                <w:b/>
                <w:color w:val="auto"/>
                <w:highlight w:val="none"/>
              </w:rPr>
            </w:pPr>
            <w:r>
              <w:rPr>
                <w:rFonts w:hint="eastAsia" w:hAnsi="宋体" w:cs="宋体"/>
                <w:b/>
                <w:color w:val="auto"/>
                <w:highlight w:val="none"/>
              </w:rPr>
              <w:t>序</w:t>
            </w:r>
            <w:r>
              <w:rPr>
                <w:rFonts w:hAnsi="宋体" w:cs="宋体"/>
                <w:b/>
                <w:color w:val="auto"/>
                <w:highlight w:val="none"/>
              </w:rPr>
              <w:t xml:space="preserve"> </w:t>
            </w:r>
            <w:r>
              <w:rPr>
                <w:rFonts w:hint="eastAsia" w:hAnsi="宋体" w:cs="宋体"/>
                <w:b/>
                <w:color w:val="auto"/>
                <w:highlight w:val="none"/>
              </w:rPr>
              <w:t>号</w:t>
            </w:r>
          </w:p>
        </w:tc>
        <w:tc>
          <w:tcPr>
            <w:tcW w:w="1801" w:type="dxa"/>
            <w:noWrap w:val="0"/>
            <w:vAlign w:val="center"/>
          </w:tcPr>
          <w:p>
            <w:pPr>
              <w:pStyle w:val="10"/>
              <w:snapToGrid w:val="0"/>
              <w:spacing w:line="400" w:lineRule="exact"/>
              <w:jc w:val="center"/>
              <w:rPr>
                <w:rFonts w:hAnsi="宋体" w:cs="宋体"/>
                <w:b/>
                <w:color w:val="auto"/>
                <w:highlight w:val="none"/>
              </w:rPr>
            </w:pPr>
            <w:r>
              <w:rPr>
                <w:rFonts w:hint="eastAsia" w:hAnsi="宋体" w:cs="宋体"/>
                <w:b/>
                <w:color w:val="auto"/>
                <w:highlight w:val="none"/>
              </w:rPr>
              <w:t>名称</w:t>
            </w:r>
          </w:p>
        </w:tc>
        <w:tc>
          <w:tcPr>
            <w:tcW w:w="2222" w:type="dxa"/>
            <w:noWrap w:val="0"/>
            <w:vAlign w:val="center"/>
          </w:tcPr>
          <w:p>
            <w:pPr>
              <w:pStyle w:val="10"/>
              <w:snapToGrid w:val="0"/>
              <w:spacing w:line="400" w:lineRule="exact"/>
              <w:jc w:val="center"/>
              <w:rPr>
                <w:rFonts w:hAnsi="宋体" w:cs="宋体"/>
                <w:b/>
                <w:color w:val="auto"/>
                <w:highlight w:val="none"/>
              </w:rPr>
            </w:pPr>
            <w:r>
              <w:rPr>
                <w:rFonts w:hint="eastAsia" w:hAnsi="宋体" w:cs="宋体"/>
                <w:b/>
                <w:color w:val="auto"/>
                <w:highlight w:val="none"/>
              </w:rPr>
              <w:t>产地</w:t>
            </w:r>
            <w:r>
              <w:rPr>
                <w:rFonts w:hAnsi="宋体" w:cs="宋体"/>
                <w:b/>
                <w:color w:val="auto"/>
                <w:highlight w:val="none"/>
              </w:rPr>
              <w:t>/</w:t>
            </w:r>
            <w:r>
              <w:rPr>
                <w:rFonts w:hint="eastAsia" w:hAnsi="宋体" w:cs="宋体"/>
                <w:b/>
                <w:color w:val="auto"/>
                <w:highlight w:val="none"/>
              </w:rPr>
              <w:t>规格</w:t>
            </w:r>
            <w:r>
              <w:rPr>
                <w:rFonts w:hAnsi="宋体" w:cs="宋体"/>
                <w:b/>
                <w:color w:val="auto"/>
                <w:highlight w:val="none"/>
              </w:rPr>
              <w:t>/</w:t>
            </w:r>
            <w:r>
              <w:rPr>
                <w:rFonts w:hint="eastAsia" w:hAnsi="宋体" w:cs="宋体"/>
                <w:b/>
                <w:color w:val="auto"/>
                <w:highlight w:val="none"/>
              </w:rPr>
              <w:t>型号</w:t>
            </w:r>
          </w:p>
        </w:tc>
        <w:tc>
          <w:tcPr>
            <w:tcW w:w="1215" w:type="dxa"/>
            <w:noWrap w:val="0"/>
            <w:vAlign w:val="center"/>
          </w:tcPr>
          <w:p>
            <w:pPr>
              <w:pStyle w:val="10"/>
              <w:snapToGrid w:val="0"/>
              <w:spacing w:line="400" w:lineRule="exact"/>
              <w:jc w:val="center"/>
              <w:rPr>
                <w:rFonts w:hAnsi="宋体" w:cs="宋体"/>
                <w:b/>
                <w:color w:val="auto"/>
                <w:highlight w:val="none"/>
              </w:rPr>
            </w:pPr>
            <w:r>
              <w:rPr>
                <w:rFonts w:hint="eastAsia" w:hAnsi="宋体" w:cs="宋体"/>
                <w:b/>
                <w:color w:val="auto"/>
                <w:highlight w:val="none"/>
              </w:rPr>
              <w:t>数量</w:t>
            </w:r>
          </w:p>
        </w:tc>
        <w:tc>
          <w:tcPr>
            <w:tcW w:w="1216" w:type="dxa"/>
            <w:noWrap w:val="0"/>
            <w:vAlign w:val="center"/>
          </w:tcPr>
          <w:p>
            <w:pPr>
              <w:pStyle w:val="10"/>
              <w:snapToGrid w:val="0"/>
              <w:spacing w:line="400" w:lineRule="exact"/>
              <w:jc w:val="center"/>
              <w:rPr>
                <w:rFonts w:hAnsi="宋体" w:cs="宋体"/>
                <w:b/>
                <w:color w:val="auto"/>
                <w:highlight w:val="none"/>
              </w:rPr>
            </w:pPr>
            <w:r>
              <w:rPr>
                <w:rFonts w:hint="eastAsia" w:hAnsi="宋体" w:cs="宋体"/>
                <w:b/>
                <w:color w:val="auto"/>
                <w:highlight w:val="none"/>
              </w:rPr>
              <w:t>单价</w:t>
            </w:r>
          </w:p>
        </w:tc>
        <w:tc>
          <w:tcPr>
            <w:tcW w:w="1705" w:type="dxa"/>
            <w:noWrap w:val="0"/>
            <w:vAlign w:val="center"/>
          </w:tcPr>
          <w:p>
            <w:pPr>
              <w:pStyle w:val="10"/>
              <w:snapToGrid w:val="0"/>
              <w:spacing w:line="400" w:lineRule="exact"/>
              <w:jc w:val="center"/>
              <w:rPr>
                <w:rFonts w:hAnsi="宋体" w:cs="宋体"/>
                <w:b/>
                <w:color w:val="auto"/>
                <w:highlight w:val="none"/>
              </w:rPr>
            </w:pPr>
            <w:r>
              <w:rPr>
                <w:rFonts w:hint="eastAsia" w:hAnsi="宋体" w:cs="宋体"/>
                <w:b/>
                <w:color w:val="auto"/>
                <w:highlight w:val="none"/>
              </w:rPr>
              <w:t>备</w:t>
            </w:r>
            <w:r>
              <w:rPr>
                <w:rFonts w:hAnsi="宋体" w:cs="宋体"/>
                <w:b/>
                <w:color w:val="auto"/>
                <w:highlight w:val="none"/>
              </w:rPr>
              <w:t xml:space="preserve"> </w:t>
            </w:r>
            <w:r>
              <w:rPr>
                <w:rFonts w:hint="eastAsia" w:hAnsi="宋体" w:cs="宋体"/>
                <w:b/>
                <w:color w:val="auto"/>
                <w:highlight w:val="none"/>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0"/>
              <w:snapToGrid w:val="0"/>
              <w:spacing w:line="400" w:lineRule="exact"/>
              <w:rPr>
                <w:rFonts w:hAnsi="宋体" w:cs="宋体"/>
                <w:b/>
                <w:color w:val="auto"/>
                <w:highlight w:val="none"/>
              </w:rPr>
            </w:pPr>
          </w:p>
        </w:tc>
        <w:tc>
          <w:tcPr>
            <w:tcW w:w="1801" w:type="dxa"/>
            <w:noWrap w:val="0"/>
            <w:vAlign w:val="top"/>
          </w:tcPr>
          <w:p>
            <w:pPr>
              <w:pStyle w:val="10"/>
              <w:snapToGrid w:val="0"/>
              <w:spacing w:line="400" w:lineRule="exact"/>
              <w:rPr>
                <w:rFonts w:hAnsi="宋体" w:cs="宋体"/>
                <w:b/>
                <w:color w:val="auto"/>
                <w:highlight w:val="none"/>
              </w:rPr>
            </w:pPr>
          </w:p>
        </w:tc>
        <w:tc>
          <w:tcPr>
            <w:tcW w:w="2222" w:type="dxa"/>
            <w:noWrap w:val="0"/>
            <w:vAlign w:val="top"/>
          </w:tcPr>
          <w:p>
            <w:pPr>
              <w:pStyle w:val="10"/>
              <w:snapToGrid w:val="0"/>
              <w:spacing w:line="400" w:lineRule="exact"/>
              <w:rPr>
                <w:rFonts w:hAnsi="宋体" w:cs="宋体"/>
                <w:b/>
                <w:color w:val="auto"/>
                <w:highlight w:val="none"/>
              </w:rPr>
            </w:pPr>
          </w:p>
        </w:tc>
        <w:tc>
          <w:tcPr>
            <w:tcW w:w="1215" w:type="dxa"/>
            <w:noWrap w:val="0"/>
            <w:vAlign w:val="top"/>
          </w:tcPr>
          <w:p>
            <w:pPr>
              <w:pStyle w:val="10"/>
              <w:snapToGrid w:val="0"/>
              <w:spacing w:line="400" w:lineRule="exact"/>
              <w:rPr>
                <w:rFonts w:hAnsi="宋体" w:cs="宋体"/>
                <w:b/>
                <w:color w:val="auto"/>
                <w:highlight w:val="none"/>
              </w:rPr>
            </w:pPr>
          </w:p>
        </w:tc>
        <w:tc>
          <w:tcPr>
            <w:tcW w:w="1216" w:type="dxa"/>
            <w:noWrap w:val="0"/>
            <w:vAlign w:val="top"/>
          </w:tcPr>
          <w:p>
            <w:pPr>
              <w:pStyle w:val="10"/>
              <w:snapToGrid w:val="0"/>
              <w:spacing w:line="400" w:lineRule="exact"/>
              <w:rPr>
                <w:rFonts w:hAnsi="宋体" w:cs="宋体"/>
                <w:b/>
                <w:color w:val="auto"/>
                <w:highlight w:val="none"/>
              </w:rPr>
            </w:pPr>
          </w:p>
        </w:tc>
        <w:tc>
          <w:tcPr>
            <w:tcW w:w="1705" w:type="dxa"/>
            <w:noWrap w:val="0"/>
            <w:vAlign w:val="top"/>
          </w:tcPr>
          <w:p>
            <w:pPr>
              <w:pStyle w:val="10"/>
              <w:snapToGrid w:val="0"/>
              <w:spacing w:line="400" w:lineRule="exact"/>
              <w:rPr>
                <w:rFonts w:hAnsi="宋体" w:cs="宋体"/>
                <w:b/>
                <w:color w:val="auto"/>
                <w:highlight w:val="none"/>
              </w:rPr>
            </w:pPr>
          </w:p>
        </w:tc>
      </w:tr>
    </w:tbl>
    <w:p>
      <w:pPr>
        <w:pStyle w:val="3"/>
        <w:ind w:firstLine="0" w:firstLineChars="0"/>
        <w:rPr>
          <w:rFonts w:ascii="宋体"/>
          <w:color w:val="auto"/>
          <w:spacing w:val="20"/>
          <w:sz w:val="22"/>
          <w:highlight w:val="none"/>
        </w:rPr>
      </w:pPr>
      <w:r>
        <w:rPr>
          <w:rFonts w:hint="eastAsia" w:hAnsi="宋体" w:cs="宋体"/>
          <w:b/>
          <w:color w:val="auto"/>
          <w:sz w:val="22"/>
          <w:szCs w:val="22"/>
          <w:highlight w:val="none"/>
        </w:rPr>
        <w:t>本表为质保期满后供设备使用两年的必备的零件，易损件，专用工具的报价表。由投标供应商填写，费用不包括在投标总价中，作为质保期满后使用单位选购零件，易损件，专用工具的价格依据。</w:t>
      </w:r>
    </w:p>
    <w:p>
      <w:pPr>
        <w:autoSpaceDE w:val="0"/>
        <w:autoSpaceDN w:val="0"/>
        <w:adjustRightInd w:val="0"/>
        <w:spacing w:line="440" w:lineRule="atLeast"/>
        <w:ind w:firstLine="627" w:firstLineChars="285"/>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ind w:firstLine="627" w:firstLineChars="285"/>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ind w:firstLine="627" w:firstLineChars="285"/>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0"/>
        <w:snapToGrid w:val="0"/>
        <w:spacing w:after="240" w:line="460" w:lineRule="atLeast"/>
        <w:ind w:firstLine="520" w:firstLineChars="200"/>
        <w:rPr>
          <w:rFonts w:hint="eastAsia"/>
          <w:color w:val="auto"/>
          <w:spacing w:val="20"/>
          <w:sz w:val="22"/>
          <w:highlight w:val="none"/>
        </w:rPr>
      </w:pPr>
    </w:p>
    <w:p>
      <w:pPr>
        <w:pStyle w:val="3"/>
        <w:ind w:left="0" w:leftChars="0" w:firstLine="0" w:firstLineChars="0"/>
        <w:rPr>
          <w:rFonts w:hint="eastAsia"/>
          <w:color w:val="auto"/>
          <w:sz w:val="36"/>
          <w:szCs w:val="36"/>
          <w:highlight w:val="none"/>
        </w:rPr>
      </w:pPr>
      <w:r>
        <w:rPr>
          <w:b/>
          <w:color w:val="auto"/>
          <w:spacing w:val="20"/>
          <w:sz w:val="22"/>
          <w:highlight w:val="none"/>
        </w:rPr>
        <w:br w:type="page"/>
      </w:r>
      <w:r>
        <w:rPr>
          <w:rFonts w:hint="eastAsia" w:cs="Times New Roman"/>
          <w:bCs/>
          <w:color w:val="auto"/>
          <w:sz w:val="36"/>
          <w:szCs w:val="36"/>
          <w:highlight w:val="none"/>
          <w:lang w:val="en-US" w:eastAsia="zh-CN"/>
        </w:rPr>
        <w:t>2.6</w:t>
      </w:r>
      <w:r>
        <w:rPr>
          <w:rFonts w:hint="eastAsia" w:cs="Times New Roman"/>
          <w:bCs/>
          <w:color w:val="auto"/>
          <w:sz w:val="36"/>
          <w:szCs w:val="36"/>
          <w:highlight w:val="none"/>
        </w:rPr>
        <w:t>中</w:t>
      </w:r>
      <w:r>
        <w:rPr>
          <w:rFonts w:hint="eastAsia"/>
          <w:color w:val="auto"/>
          <w:sz w:val="36"/>
          <w:szCs w:val="36"/>
          <w:highlight w:val="none"/>
        </w:rPr>
        <w:t>小企业声明函、监狱企业、残疾人福利性单位及其他相关的充分的证明材料</w:t>
      </w:r>
    </w:p>
    <w:p>
      <w:pPr>
        <w:snapToGrid w:val="0"/>
        <w:spacing w:line="360" w:lineRule="auto"/>
        <w:jc w:val="center"/>
        <w:rPr>
          <w:rFonts w:hint="eastAsia"/>
          <w:color w:val="auto"/>
          <w:sz w:val="28"/>
          <w:szCs w:val="28"/>
          <w:highlight w:val="none"/>
        </w:rPr>
      </w:pPr>
      <w:r>
        <w:rPr>
          <w:rFonts w:hint="eastAsia"/>
          <w:b/>
          <w:color w:val="auto"/>
          <w:sz w:val="28"/>
          <w:szCs w:val="28"/>
          <w:highlight w:val="none"/>
        </w:rPr>
        <w:t>中小企业声明函及其相关的充分的证明材料</w:t>
      </w:r>
    </w:p>
    <w:p>
      <w:pPr>
        <w:snapToGrid w:val="0"/>
        <w:spacing w:line="360" w:lineRule="auto"/>
        <w:jc w:val="center"/>
        <w:rPr>
          <w:rFonts w:hint="eastAsia"/>
          <w:b/>
          <w:color w:val="auto"/>
          <w:sz w:val="28"/>
          <w:szCs w:val="28"/>
          <w:highlight w:val="none"/>
        </w:rPr>
      </w:pPr>
      <w:r>
        <w:rPr>
          <w:rFonts w:hint="eastAsia"/>
          <w:b/>
          <w:color w:val="auto"/>
          <w:sz w:val="28"/>
          <w:szCs w:val="28"/>
          <w:highlight w:val="none"/>
        </w:rPr>
        <w:t>中小企业声明函</w:t>
      </w:r>
    </w:p>
    <w:p>
      <w:pPr>
        <w:snapToGrid w:val="0"/>
        <w:spacing w:line="360" w:lineRule="auto"/>
        <w:ind w:firstLine="480" w:firstLineChars="200"/>
        <w:jc w:val="center"/>
        <w:rPr>
          <w:rFonts w:hint="eastAsia"/>
          <w:color w:val="auto"/>
          <w:highlight w:val="none"/>
        </w:rPr>
      </w:pPr>
      <w:r>
        <w:rPr>
          <w:rFonts w:hint="eastAsia"/>
          <w:color w:val="auto"/>
          <w:highlight w:val="none"/>
        </w:rPr>
        <w:t>【不属于中小企业的无需填写、递交】</w:t>
      </w:r>
    </w:p>
    <w:p>
      <w:pPr>
        <w:snapToGrid w:val="0"/>
        <w:spacing w:line="360" w:lineRule="auto"/>
        <w:ind w:firstLine="480" w:firstLineChars="200"/>
        <w:rPr>
          <w:rFonts w:hint="eastAsia"/>
          <w:color w:val="auto"/>
          <w:highlight w:val="none"/>
        </w:rPr>
      </w:pPr>
      <w:r>
        <w:rPr>
          <w:rFonts w:hint="eastAsia"/>
          <w:color w:val="auto"/>
          <w:highlight w:val="none"/>
        </w:rPr>
        <w:t>本公司郑重声明，根据《政府采购促进中小企业发展暂行办法》（财库[2011]181 号）的规定，本公司为的______（请填写：中型、小型、微型）企业。即，本公司同时满足以</w:t>
      </w:r>
      <w:bookmarkStart w:id="25" w:name="_GoBack"/>
      <w:bookmarkEnd w:id="25"/>
      <w:r>
        <w:rPr>
          <w:rFonts w:hint="eastAsia"/>
          <w:color w:val="auto"/>
          <w:highlight w:val="none"/>
        </w:rPr>
        <w:t>下条件：</w:t>
      </w:r>
    </w:p>
    <w:p>
      <w:pPr>
        <w:snapToGrid w:val="0"/>
        <w:spacing w:line="360" w:lineRule="auto"/>
        <w:ind w:firstLine="480" w:firstLineChars="200"/>
        <w:rPr>
          <w:rFonts w:hint="eastAsia"/>
          <w:color w:val="auto"/>
          <w:highlight w:val="none"/>
        </w:rPr>
      </w:pPr>
      <w:r>
        <w:rPr>
          <w:rFonts w:hint="eastAsia"/>
          <w:color w:val="auto"/>
          <w:highlight w:val="none"/>
        </w:rPr>
        <w:t>1、根据《工业和信息化部、国家统计局、国家发展和改革委员会、财政部关于印发中小企业划型标准规定的通知》（工信部联企业[2011]300号）规定的划分标准，本公司为</w:t>
      </w:r>
      <w:r>
        <w:rPr>
          <w:rFonts w:hint="eastAsia"/>
          <w:color w:val="auto"/>
          <w:highlight w:val="none"/>
          <w:u w:val="single"/>
        </w:rPr>
        <w:t>______</w:t>
      </w:r>
      <w:r>
        <w:rPr>
          <w:rFonts w:hint="eastAsia"/>
          <w:color w:val="auto"/>
          <w:highlight w:val="none"/>
        </w:rPr>
        <w:t>（请填写：中型、小型、微型）企业。</w:t>
      </w:r>
    </w:p>
    <w:p>
      <w:pPr>
        <w:snapToGrid w:val="0"/>
        <w:spacing w:line="360" w:lineRule="auto"/>
        <w:ind w:firstLine="480" w:firstLineChars="200"/>
        <w:rPr>
          <w:rFonts w:hint="eastAsia"/>
          <w:color w:val="auto"/>
          <w:highlight w:val="none"/>
        </w:rPr>
      </w:pPr>
      <w:r>
        <w:rPr>
          <w:rFonts w:hint="eastAsia"/>
          <w:color w:val="auto"/>
          <w:highlight w:val="none"/>
        </w:rPr>
        <w:t>2、本公司参加______（采购人）的______（项目名称）______（</w:t>
      </w:r>
      <w:r>
        <w:rPr>
          <w:rFonts w:hint="eastAsia"/>
          <w:color w:val="auto"/>
          <w:highlight w:val="none"/>
          <w:lang w:val="en-US" w:eastAsia="zh-CN"/>
        </w:rPr>
        <w:t>编号</w:t>
      </w:r>
      <w:r>
        <w:rPr>
          <w:rFonts w:hint="eastAsia"/>
          <w:color w:val="auto"/>
          <w:highlight w:val="none"/>
        </w:rPr>
        <w:t>）采购活动提供本企业提供服务，或者提供其他______（请填写：中型、小型、微型）企业提供</w:t>
      </w:r>
      <w:r>
        <w:rPr>
          <w:rFonts w:hint="eastAsia"/>
          <w:color w:val="auto"/>
          <w:highlight w:val="none"/>
          <w:lang w:val="en-US" w:eastAsia="zh-CN"/>
        </w:rPr>
        <w:t>货物</w:t>
      </w:r>
      <w:r>
        <w:rPr>
          <w:rFonts w:hint="eastAsia"/>
          <w:color w:val="auto"/>
          <w:highlight w:val="none"/>
        </w:rPr>
        <w:t>（制造商的中小企业声明函另附）。本条所称货物不包括使用大型企业注册商标的货物。</w:t>
      </w:r>
    </w:p>
    <w:p>
      <w:pPr>
        <w:snapToGrid w:val="0"/>
        <w:spacing w:line="360" w:lineRule="auto"/>
        <w:ind w:firstLine="480" w:firstLineChars="200"/>
        <w:rPr>
          <w:rFonts w:hint="eastAsia"/>
          <w:color w:val="auto"/>
          <w:highlight w:val="none"/>
        </w:rPr>
      </w:pPr>
      <w:r>
        <w:rPr>
          <w:rFonts w:hint="eastAsia"/>
          <w:color w:val="auto"/>
          <w:highlight w:val="none"/>
        </w:rPr>
        <w:t>本公司对上述声明的真实性负责。如有虚假，将依法承担相应责任。</w:t>
      </w:r>
    </w:p>
    <w:p>
      <w:pP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highlight w:val="none"/>
        </w:rPr>
      </w:pPr>
      <w:r>
        <w:rPr>
          <w:rFonts w:hint="eastAsia"/>
          <w:color w:val="auto"/>
          <w:highlight w:val="none"/>
        </w:rPr>
        <w:t>投标人名称（盖章）：</w:t>
      </w:r>
    </w:p>
    <w:p>
      <w:pPr>
        <w:snapToGrid w:val="0"/>
        <w:spacing w:line="360" w:lineRule="auto"/>
        <w:ind w:firstLine="480" w:firstLineChars="200"/>
        <w:rPr>
          <w:rFonts w:hint="eastAsia"/>
          <w:color w:val="auto"/>
          <w:highlight w:val="none"/>
        </w:rPr>
      </w:pPr>
      <w:r>
        <w:rPr>
          <w:rFonts w:hint="eastAsia"/>
          <w:color w:val="auto"/>
          <w:highlight w:val="none"/>
        </w:rPr>
        <w:t>日期：    年  月  日</w:t>
      </w:r>
    </w:p>
    <w:p>
      <w:pPr>
        <w:pBdr>
          <w:bottom w:val="single" w:color="auto" w:sz="6" w:space="1"/>
        </w:pBd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szCs w:val="21"/>
          <w:highlight w:val="none"/>
        </w:rPr>
      </w:pPr>
      <w:r>
        <w:rPr>
          <w:rFonts w:hint="eastAsia"/>
          <w:color w:val="auto"/>
          <w:szCs w:val="21"/>
          <w:highlight w:val="none"/>
        </w:rPr>
        <w:t>填写说明：</w:t>
      </w:r>
    </w:p>
    <w:p>
      <w:pPr>
        <w:snapToGrid w:val="0"/>
        <w:spacing w:line="360" w:lineRule="auto"/>
        <w:ind w:firstLine="480" w:firstLineChars="200"/>
        <w:rPr>
          <w:rFonts w:hint="eastAsia"/>
          <w:color w:val="auto"/>
          <w:szCs w:val="21"/>
          <w:highlight w:val="none"/>
        </w:rPr>
      </w:pPr>
      <w:r>
        <w:rPr>
          <w:rFonts w:hint="eastAsia"/>
          <w:color w:val="auto"/>
          <w:szCs w:val="21"/>
          <w:highlight w:val="none"/>
        </w:rPr>
        <w:t>1）投标人为中型、小型、微型企业的提供此函；</w:t>
      </w:r>
    </w:p>
    <w:p>
      <w:pPr>
        <w:snapToGrid w:val="0"/>
        <w:spacing w:line="360" w:lineRule="auto"/>
        <w:ind w:firstLine="480" w:firstLineChars="200"/>
        <w:rPr>
          <w:rFonts w:hint="eastAsia"/>
          <w:color w:val="auto"/>
          <w:szCs w:val="21"/>
          <w:highlight w:val="none"/>
        </w:rPr>
      </w:pPr>
      <w:r>
        <w:rPr>
          <w:rFonts w:hint="eastAsia"/>
          <w:color w:val="auto"/>
          <w:szCs w:val="21"/>
          <w:highlight w:val="none"/>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80" w:firstLineChars="200"/>
        <w:rPr>
          <w:rFonts w:hint="eastAsia"/>
          <w:color w:val="auto"/>
          <w:szCs w:val="21"/>
          <w:highlight w:val="none"/>
        </w:rPr>
      </w:pPr>
      <w:r>
        <w:rPr>
          <w:rFonts w:hint="eastAsia"/>
          <w:color w:val="auto"/>
          <w:szCs w:val="21"/>
          <w:highlight w:val="none"/>
        </w:rPr>
        <w:t>3）所投产品如由多个企业制造的，在填写企业类型时，按产品生产企业中规模最大的企业类型填写；</w:t>
      </w:r>
    </w:p>
    <w:p>
      <w:pPr>
        <w:snapToGrid w:val="0"/>
        <w:spacing w:line="360" w:lineRule="auto"/>
        <w:ind w:firstLine="480" w:firstLineChars="200"/>
        <w:rPr>
          <w:rFonts w:hint="eastAsia"/>
          <w:color w:val="auto"/>
          <w:szCs w:val="21"/>
          <w:highlight w:val="none"/>
        </w:rPr>
      </w:pPr>
      <w:r>
        <w:rPr>
          <w:rFonts w:hint="eastAsia"/>
          <w:color w:val="auto"/>
          <w:szCs w:val="21"/>
          <w:highlight w:val="none"/>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80" w:firstLineChars="200"/>
        <w:rPr>
          <w:rFonts w:hint="eastAsia"/>
          <w:b/>
          <w:color w:val="auto"/>
          <w:szCs w:val="21"/>
          <w:highlight w:val="none"/>
        </w:rPr>
      </w:pPr>
      <w:r>
        <w:rPr>
          <w:rFonts w:hint="eastAsia"/>
          <w:color w:val="auto"/>
          <w:szCs w:val="21"/>
          <w:highlight w:val="none"/>
        </w:rPr>
        <w:t>5）注：小型、微型企业参加政府采购活动时，应提供：a）《中小企业声明函》；上述证明材料提供不齐全的，不能享受价格扣除。</w:t>
      </w:r>
    </w:p>
    <w:p>
      <w:pPr>
        <w:snapToGrid w:val="0"/>
        <w:spacing w:line="360" w:lineRule="auto"/>
        <w:ind w:firstLine="480" w:firstLineChars="200"/>
        <w:rPr>
          <w:rFonts w:hint="eastAsia"/>
          <w:color w:val="auto"/>
          <w:highlight w:val="none"/>
        </w:rPr>
      </w:pPr>
    </w:p>
    <w:p>
      <w:pPr>
        <w:snapToGrid w:val="0"/>
        <w:spacing w:line="360" w:lineRule="auto"/>
        <w:ind w:firstLine="482" w:firstLineChars="200"/>
        <w:rPr>
          <w:rFonts w:hint="eastAsia"/>
          <w:b/>
          <w:bCs/>
          <w:color w:val="auto"/>
          <w:highlight w:val="none"/>
        </w:rPr>
      </w:pPr>
      <w:r>
        <w:rPr>
          <w:rFonts w:hint="eastAsia"/>
          <w:b/>
          <w:bCs/>
          <w:color w:val="auto"/>
          <w:highlight w:val="none"/>
        </w:rPr>
        <w:t>▲投标人提供的中小企业声明函与实际情况不符的，视为投标人提供虚假材料投标的，投标无效。</w:t>
      </w:r>
    </w:p>
    <w:p>
      <w:pPr>
        <w:snapToGrid w:val="0"/>
        <w:spacing w:line="360" w:lineRule="auto"/>
        <w:jc w:val="center"/>
        <w:rPr>
          <w:rFonts w:hint="eastAsia"/>
          <w:b/>
          <w:color w:val="auto"/>
          <w:highlight w:val="none"/>
        </w:rPr>
      </w:pPr>
    </w:p>
    <w:p>
      <w:pPr>
        <w:snapToGrid w:val="0"/>
        <w:spacing w:line="360" w:lineRule="auto"/>
        <w:jc w:val="center"/>
        <w:rPr>
          <w:rFonts w:hint="eastAsia"/>
          <w:b/>
          <w:color w:val="auto"/>
          <w:highlight w:val="none"/>
        </w:rPr>
      </w:pPr>
    </w:p>
    <w:p>
      <w:pPr>
        <w:snapToGrid w:val="0"/>
        <w:spacing w:line="360" w:lineRule="auto"/>
        <w:jc w:val="center"/>
        <w:rPr>
          <w:rFonts w:hint="eastAsia"/>
          <w:b/>
          <w:color w:val="auto"/>
          <w:highlight w:val="none"/>
        </w:rPr>
      </w:pPr>
    </w:p>
    <w:p>
      <w:pPr>
        <w:snapToGrid w:val="0"/>
        <w:spacing w:line="360" w:lineRule="auto"/>
        <w:jc w:val="center"/>
        <w:rPr>
          <w:rFonts w:hint="eastAsia"/>
          <w:b/>
          <w:color w:val="auto"/>
          <w:highlight w:val="none"/>
        </w:rPr>
      </w:pPr>
      <w:r>
        <w:rPr>
          <w:rFonts w:hint="eastAsia"/>
          <w:b/>
          <w:color w:val="auto"/>
          <w:highlight w:val="none"/>
        </w:rPr>
        <w:t>监狱企业声明函</w:t>
      </w:r>
    </w:p>
    <w:p>
      <w:pPr>
        <w:snapToGrid w:val="0"/>
        <w:spacing w:line="360" w:lineRule="auto"/>
        <w:ind w:firstLine="480" w:firstLineChars="200"/>
        <w:jc w:val="center"/>
        <w:rPr>
          <w:rFonts w:hint="eastAsia"/>
          <w:color w:val="auto"/>
          <w:highlight w:val="none"/>
        </w:rPr>
      </w:pPr>
      <w:r>
        <w:rPr>
          <w:rFonts w:hint="eastAsia"/>
          <w:color w:val="auto"/>
          <w:highlight w:val="none"/>
        </w:rPr>
        <w:t>【不属于监狱企业的无需填写、递交】</w:t>
      </w:r>
    </w:p>
    <w:p>
      <w:pPr>
        <w:snapToGrid w:val="0"/>
        <w:spacing w:line="360" w:lineRule="auto"/>
        <w:ind w:firstLine="480" w:firstLineChars="200"/>
        <w:rPr>
          <w:rFonts w:hint="eastAsia"/>
          <w:color w:val="auto"/>
          <w:highlight w:val="none"/>
        </w:rPr>
      </w:pPr>
      <w:r>
        <w:rPr>
          <w:rFonts w:hint="eastAsia"/>
          <w:color w:val="auto"/>
          <w:highlight w:val="none"/>
        </w:rPr>
        <w:t>本公司郑重声明，根据《关于政府采购支持监狱企业发展有关问题的通知》 （财库[2014]68 号）的规定，本公司为</w:t>
      </w:r>
      <w:r>
        <w:rPr>
          <w:rFonts w:hint="eastAsia"/>
          <w:color w:val="auto"/>
          <w:highlight w:val="none"/>
          <w:u w:val="single"/>
        </w:rPr>
        <w:t>监狱企业</w:t>
      </w:r>
      <w:r>
        <w:rPr>
          <w:rFonts w:hint="eastAsia"/>
          <w:color w:val="auto"/>
          <w:highlight w:val="none"/>
        </w:rPr>
        <w:t>。</w:t>
      </w:r>
    </w:p>
    <w:p>
      <w:pPr>
        <w:snapToGrid w:val="0"/>
        <w:spacing w:line="360" w:lineRule="auto"/>
        <w:ind w:firstLine="480" w:firstLineChars="200"/>
        <w:rPr>
          <w:rFonts w:hint="eastAsia"/>
          <w:color w:val="auto"/>
          <w:highlight w:val="none"/>
        </w:rPr>
      </w:pPr>
      <w:r>
        <w:rPr>
          <w:rFonts w:hint="eastAsia"/>
          <w:color w:val="auto"/>
          <w:highlight w:val="none"/>
        </w:rPr>
        <w:t>根据上述标准，我公司属于监狱企业的理由为：</w:t>
      </w:r>
      <w:r>
        <w:rPr>
          <w:rFonts w:hint="eastAsia"/>
          <w:color w:val="auto"/>
          <w:highlight w:val="none"/>
          <w:u w:val="single"/>
        </w:rPr>
        <w:t xml:space="preserve">         </w:t>
      </w:r>
      <w:r>
        <w:rPr>
          <w:rFonts w:hint="eastAsia"/>
          <w:color w:val="auto"/>
          <w:highlight w:val="none"/>
        </w:rPr>
        <w:t>。</w:t>
      </w:r>
    </w:p>
    <w:p>
      <w:pPr>
        <w:snapToGrid w:val="0"/>
        <w:spacing w:line="360" w:lineRule="auto"/>
        <w:ind w:firstLine="480" w:firstLineChars="200"/>
        <w:rPr>
          <w:rFonts w:hint="eastAsia"/>
          <w:color w:val="auto"/>
          <w:highlight w:val="none"/>
        </w:rPr>
      </w:pPr>
      <w:r>
        <w:rPr>
          <w:rFonts w:hint="eastAsia"/>
          <w:color w:val="auto"/>
          <w:highlight w:val="none"/>
        </w:rPr>
        <w:t>本公司为参加（</w:t>
      </w:r>
      <w:r>
        <w:rPr>
          <w:rFonts w:hint="eastAsia"/>
          <w:color w:val="auto"/>
          <w:highlight w:val="none"/>
          <w:u w:val="single"/>
        </w:rPr>
        <w:t xml:space="preserve">    项目名称    </w:t>
      </w:r>
      <w:r>
        <w:rPr>
          <w:rFonts w:hint="eastAsia"/>
          <w:color w:val="auto"/>
          <w:highlight w:val="none"/>
        </w:rPr>
        <w:t>） （项目编号：</w:t>
      </w:r>
      <w:r>
        <w:rPr>
          <w:rFonts w:hint="eastAsia"/>
          <w:color w:val="auto"/>
          <w:highlight w:val="none"/>
          <w:u w:val="single"/>
        </w:rPr>
        <w:t xml:space="preserve">      </w:t>
      </w:r>
      <w:r>
        <w:rPr>
          <w:rFonts w:hint="eastAsia"/>
          <w:color w:val="auto"/>
          <w:highlight w:val="none"/>
        </w:rPr>
        <w:t>）采购活动提供本企业提供服务。</w:t>
      </w:r>
    </w:p>
    <w:p>
      <w:pPr>
        <w:snapToGrid w:val="0"/>
        <w:spacing w:line="360" w:lineRule="auto"/>
        <w:ind w:firstLine="480" w:firstLineChars="200"/>
        <w:rPr>
          <w:rFonts w:hint="eastAsia"/>
          <w:color w:val="auto"/>
          <w:highlight w:val="none"/>
        </w:rPr>
      </w:pPr>
      <w:r>
        <w:rPr>
          <w:rFonts w:hint="eastAsia"/>
          <w:color w:val="auto"/>
          <w:highlight w:val="none"/>
        </w:rPr>
        <w:t>本公司对上述声明的真实性负责。如有虚假，将依法承担相应责任。</w:t>
      </w:r>
    </w:p>
    <w:p>
      <w:pP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highlight w:val="none"/>
        </w:rPr>
      </w:pPr>
      <w:r>
        <w:rPr>
          <w:rFonts w:hint="eastAsia"/>
          <w:color w:val="auto"/>
          <w:highlight w:val="none"/>
        </w:rPr>
        <w:t>投标人名称（盖章）：</w:t>
      </w:r>
    </w:p>
    <w:p>
      <w:pPr>
        <w:snapToGrid w:val="0"/>
        <w:spacing w:line="360" w:lineRule="auto"/>
        <w:ind w:firstLine="480" w:firstLineChars="200"/>
        <w:rPr>
          <w:rFonts w:hint="eastAsia"/>
          <w:color w:val="auto"/>
          <w:highlight w:val="none"/>
        </w:rPr>
      </w:pPr>
      <w:r>
        <w:rPr>
          <w:rFonts w:hint="eastAsia"/>
          <w:color w:val="auto"/>
          <w:highlight w:val="none"/>
        </w:rPr>
        <w:t>日期：    年  月  日</w:t>
      </w:r>
    </w:p>
    <w:p>
      <w:pP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highlight w:val="none"/>
        </w:rPr>
      </w:pPr>
    </w:p>
    <w:p>
      <w:pPr>
        <w:snapToGrid w:val="0"/>
        <w:spacing w:line="360" w:lineRule="auto"/>
        <w:jc w:val="both"/>
        <w:rPr>
          <w:rFonts w:hint="eastAsia"/>
          <w:b/>
          <w:color w:val="auto"/>
          <w:spacing w:val="6"/>
          <w:highlight w:val="none"/>
        </w:rPr>
      </w:pPr>
    </w:p>
    <w:p>
      <w:pPr>
        <w:snapToGrid w:val="0"/>
        <w:spacing w:line="360" w:lineRule="auto"/>
        <w:jc w:val="center"/>
        <w:rPr>
          <w:rFonts w:hint="eastAsia"/>
          <w:b/>
          <w:color w:val="auto"/>
          <w:spacing w:val="6"/>
          <w:highlight w:val="none"/>
        </w:rPr>
      </w:pPr>
    </w:p>
    <w:p>
      <w:pPr>
        <w:pageBreakBefore/>
        <w:snapToGrid w:val="0"/>
        <w:spacing w:line="360" w:lineRule="auto"/>
        <w:jc w:val="center"/>
        <w:rPr>
          <w:rFonts w:hint="eastAsia"/>
          <w:b/>
          <w:color w:val="auto"/>
          <w:spacing w:val="6"/>
          <w:highlight w:val="none"/>
        </w:rPr>
      </w:pPr>
      <w:r>
        <w:rPr>
          <w:rFonts w:hint="eastAsia"/>
          <w:b/>
          <w:color w:val="auto"/>
          <w:spacing w:val="6"/>
          <w:highlight w:val="none"/>
        </w:rPr>
        <w:t>残疾人福利性单位声明函</w:t>
      </w:r>
    </w:p>
    <w:p>
      <w:pPr>
        <w:snapToGrid w:val="0"/>
        <w:spacing w:line="360" w:lineRule="auto"/>
        <w:ind w:firstLine="480" w:firstLineChars="200"/>
        <w:rPr>
          <w:rFonts w:hint="eastAsia"/>
          <w:color w:val="auto"/>
          <w:highlight w:val="none"/>
        </w:rPr>
      </w:pPr>
      <w:r>
        <w:rPr>
          <w:rFonts w:hint="eastAsia"/>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80" w:firstLineChars="200"/>
        <w:rPr>
          <w:rFonts w:hint="eastAsia"/>
          <w:color w:val="auto"/>
          <w:highlight w:val="none"/>
        </w:rPr>
      </w:pPr>
      <w:r>
        <w:rPr>
          <w:rFonts w:hint="eastAsia"/>
          <w:color w:val="auto"/>
          <w:highlight w:val="none"/>
        </w:rPr>
        <w:t>本单位对上述声明的真实性负责。如有虚假，将依法承担相应责任。</w:t>
      </w:r>
    </w:p>
    <w:p>
      <w:pPr>
        <w:snapToGrid w:val="0"/>
        <w:spacing w:line="360" w:lineRule="auto"/>
        <w:ind w:firstLine="480" w:firstLineChars="200"/>
        <w:rPr>
          <w:rFonts w:hint="eastAsia"/>
          <w:color w:val="auto"/>
          <w:highlight w:val="none"/>
        </w:rPr>
      </w:pPr>
    </w:p>
    <w:p>
      <w:pPr>
        <w:snapToGrid w:val="0"/>
        <w:spacing w:line="360" w:lineRule="auto"/>
        <w:ind w:firstLine="480" w:firstLineChars="200"/>
        <w:rPr>
          <w:rFonts w:hint="eastAsia"/>
          <w:color w:val="auto"/>
          <w:highlight w:val="none"/>
        </w:rPr>
      </w:pPr>
    </w:p>
    <w:p>
      <w:pPr>
        <w:tabs>
          <w:tab w:val="left" w:pos="4860"/>
        </w:tabs>
        <w:snapToGrid w:val="0"/>
        <w:spacing w:line="360" w:lineRule="auto"/>
        <w:ind w:right="1560" w:firstLine="480" w:firstLineChars="200"/>
        <w:rPr>
          <w:rFonts w:hint="eastAsia"/>
          <w:color w:val="auto"/>
          <w:highlight w:val="none"/>
        </w:rPr>
      </w:pPr>
      <w:r>
        <w:rPr>
          <w:rFonts w:hint="eastAsia"/>
          <w:color w:val="auto"/>
          <w:highlight w:val="none"/>
        </w:rPr>
        <w:t xml:space="preserve">       单位名称（盖章）：</w:t>
      </w:r>
    </w:p>
    <w:p>
      <w:pPr>
        <w:tabs>
          <w:tab w:val="left" w:pos="4860"/>
        </w:tabs>
        <w:snapToGrid w:val="0"/>
        <w:spacing w:line="360" w:lineRule="auto"/>
        <w:ind w:right="1560" w:firstLine="480" w:firstLineChars="200"/>
        <w:rPr>
          <w:rFonts w:hint="eastAsia"/>
          <w:color w:val="auto"/>
          <w:highlight w:val="none"/>
        </w:rPr>
      </w:pPr>
      <w:r>
        <w:rPr>
          <w:rFonts w:hint="eastAsia"/>
          <w:color w:val="auto"/>
          <w:highlight w:val="none"/>
        </w:rPr>
        <w:t xml:space="preserve">       日  期：</w:t>
      </w:r>
    </w:p>
    <w:p>
      <w:pPr>
        <w:pStyle w:val="25"/>
        <w:snapToGrid w:val="0"/>
        <w:spacing w:line="360" w:lineRule="auto"/>
        <w:ind w:left="360" w:firstLine="0" w:firstLineChars="0"/>
        <w:rPr>
          <w:rFonts w:hint="eastAsia" w:cs="宋体"/>
          <w:color w:val="auto"/>
          <w:sz w:val="22"/>
          <w:szCs w:val="22"/>
          <w:highlight w:val="none"/>
        </w:rPr>
      </w:pPr>
      <w:r>
        <w:rPr>
          <w:rFonts w:hint="eastAsia" w:cs="宋体"/>
          <w:color w:val="auto"/>
          <w:sz w:val="22"/>
          <w:szCs w:val="22"/>
          <w:highlight w:val="none"/>
        </w:rPr>
        <w:t>扶持政策说明：</w:t>
      </w:r>
    </w:p>
    <w:p>
      <w:pPr>
        <w:pStyle w:val="25"/>
        <w:snapToGrid w:val="0"/>
        <w:spacing w:line="360" w:lineRule="auto"/>
        <w:ind w:firstLine="480"/>
        <w:rPr>
          <w:rFonts w:hint="eastAsia" w:cs="宋体"/>
          <w:color w:val="auto"/>
          <w:sz w:val="22"/>
          <w:szCs w:val="22"/>
          <w:highlight w:val="none"/>
        </w:rPr>
      </w:pPr>
      <w:r>
        <w:rPr>
          <w:rFonts w:hint="eastAsia" w:cs="宋体"/>
          <w:color w:val="auto"/>
          <w:sz w:val="22"/>
          <w:szCs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color w:val="auto"/>
          <w:sz w:val="22"/>
          <w:szCs w:val="22"/>
          <w:highlight w:val="none"/>
          <w:u w:val="single"/>
        </w:rPr>
        <w:t>6%</w:t>
      </w:r>
      <w:r>
        <w:rPr>
          <w:rFonts w:hint="eastAsia" w:cs="宋体"/>
          <w:color w:val="auto"/>
          <w:sz w:val="22"/>
          <w:szCs w:val="22"/>
          <w:highlight w:val="none"/>
        </w:rPr>
        <w:t>的扣除，并用扣除后的价格计算价格评分。</w:t>
      </w:r>
    </w:p>
    <w:p>
      <w:pPr>
        <w:snapToGrid w:val="0"/>
        <w:spacing w:line="360" w:lineRule="auto"/>
        <w:ind w:firstLine="220" w:firstLineChars="100"/>
        <w:rPr>
          <w:rFonts w:hint="eastAsia"/>
          <w:color w:val="auto"/>
          <w:sz w:val="22"/>
          <w:szCs w:val="22"/>
          <w:highlight w:val="none"/>
        </w:rPr>
      </w:pPr>
      <w:r>
        <w:rPr>
          <w:rFonts w:hint="eastAsia"/>
          <w:color w:val="auto"/>
          <w:sz w:val="22"/>
          <w:szCs w:val="22"/>
          <w:highlight w:val="none"/>
        </w:rPr>
        <w:t>2、监狱企业视同小微企业，参加本项目投标的，享受小微企业同等的价格扣除。【注：提供《监狱企业声明函》及其相关的充分的证明材料】。</w:t>
      </w:r>
    </w:p>
    <w:p>
      <w:pPr>
        <w:pStyle w:val="25"/>
        <w:snapToGrid w:val="0"/>
        <w:spacing w:line="360" w:lineRule="auto"/>
        <w:ind w:firstLine="220" w:firstLineChars="100"/>
        <w:rPr>
          <w:rFonts w:hint="eastAsia" w:cs="宋体"/>
          <w:color w:val="auto"/>
          <w:highlight w:val="none"/>
        </w:rPr>
      </w:pPr>
      <w:r>
        <w:rPr>
          <w:rFonts w:hint="eastAsia" w:cs="宋体"/>
          <w:color w:val="auto"/>
          <w:sz w:val="22"/>
          <w:szCs w:val="22"/>
          <w:highlight w:val="none"/>
        </w:rPr>
        <w:t>3、残疾人福利性单位参加投标【提供《残疾人福利性单位声明函》】，视为小型、微型企业，享受小微企业政策扶持。</w:t>
      </w:r>
    </w:p>
    <w:p>
      <w:pPr>
        <w:pStyle w:val="10"/>
        <w:adjustRightInd w:val="0"/>
        <w:snapToGrid w:val="0"/>
        <w:spacing w:line="500" w:lineRule="exact"/>
        <w:rPr>
          <w:rFonts w:hint="eastAsia" w:hAnsi="宋体"/>
          <w:color w:val="auto"/>
          <w:sz w:val="30"/>
          <w:highlight w:val="none"/>
        </w:rPr>
      </w:pPr>
    </w:p>
    <w:p>
      <w:pPr>
        <w:pStyle w:val="10"/>
        <w:adjustRightInd w:val="0"/>
        <w:snapToGrid w:val="0"/>
        <w:spacing w:line="500" w:lineRule="exact"/>
        <w:rPr>
          <w:rFonts w:hint="eastAsia" w:hAnsi="宋体"/>
          <w:color w:val="auto"/>
          <w:sz w:val="30"/>
          <w:highlight w:val="none"/>
        </w:rPr>
      </w:pPr>
    </w:p>
    <w:p>
      <w:pPr>
        <w:pStyle w:val="10"/>
        <w:adjustRightInd w:val="0"/>
        <w:snapToGrid w:val="0"/>
        <w:spacing w:line="500" w:lineRule="exact"/>
        <w:rPr>
          <w:rFonts w:hint="eastAsia" w:hAnsi="宋体"/>
          <w:color w:val="auto"/>
          <w:sz w:val="30"/>
          <w:highlight w:val="none"/>
        </w:rPr>
      </w:pPr>
    </w:p>
    <w:p>
      <w:pPr>
        <w:pStyle w:val="10"/>
        <w:adjustRightInd w:val="0"/>
        <w:snapToGrid w:val="0"/>
        <w:spacing w:line="500" w:lineRule="exact"/>
        <w:rPr>
          <w:rFonts w:hint="eastAsia" w:hAnsi="宋体"/>
          <w:color w:val="auto"/>
          <w:sz w:val="30"/>
          <w:highlight w:val="none"/>
        </w:rPr>
      </w:pPr>
    </w:p>
    <w:p>
      <w:pPr>
        <w:pStyle w:val="11"/>
        <w:rPr>
          <w:rFonts w:hint="eastAsia" w:hAnsi="宋体"/>
          <w:color w:val="auto"/>
          <w:sz w:val="30"/>
          <w:highlight w:val="none"/>
        </w:rPr>
      </w:pPr>
    </w:p>
    <w:p>
      <w:pPr>
        <w:rPr>
          <w:rFonts w:hint="eastAsia" w:hAnsi="宋体"/>
          <w:color w:val="auto"/>
          <w:sz w:val="30"/>
          <w:highlight w:val="none"/>
        </w:rPr>
      </w:pPr>
    </w:p>
    <w:p>
      <w:pPr>
        <w:pStyle w:val="2"/>
        <w:rPr>
          <w:rFonts w:hint="eastAsia"/>
          <w:color w:val="auto"/>
          <w:highlight w:val="none"/>
        </w:rPr>
      </w:pPr>
    </w:p>
    <w:p>
      <w:pPr>
        <w:pStyle w:val="10"/>
        <w:adjustRightInd w:val="0"/>
        <w:snapToGrid w:val="0"/>
        <w:spacing w:line="500" w:lineRule="exact"/>
        <w:rPr>
          <w:rFonts w:hint="eastAsia" w:hAnsi="宋体"/>
          <w:color w:val="auto"/>
          <w:sz w:val="30"/>
          <w:highlight w:val="none"/>
        </w:rPr>
      </w:pPr>
    </w:p>
    <w:p>
      <w:pPr>
        <w:pStyle w:val="5"/>
        <w:rPr>
          <w:color w:val="auto"/>
          <w:highlight w:val="none"/>
        </w:rPr>
      </w:pPr>
      <w:bookmarkStart w:id="18" w:name="_Toc24550050"/>
      <w:bookmarkStart w:id="19" w:name="_Toc30408915"/>
      <w:bookmarkStart w:id="20" w:name="_Toc7988414"/>
      <w:bookmarkStart w:id="21" w:name="_Toc7988468"/>
      <w:bookmarkStart w:id="22" w:name="_Toc8008423"/>
      <w:bookmarkStart w:id="23" w:name="_Toc424164168"/>
      <w:bookmarkStart w:id="24" w:name="_Toc440162800"/>
      <w:r>
        <w:rPr>
          <w:rFonts w:hint="eastAsia"/>
          <w:color w:val="auto"/>
          <w:highlight w:val="none"/>
        </w:rPr>
        <w:t>三、“商务技术文件</w:t>
      </w:r>
      <w:r>
        <w:rPr>
          <w:color w:val="auto"/>
          <w:highlight w:val="none"/>
        </w:rPr>
        <w:t>”</w:t>
      </w:r>
      <w:r>
        <w:rPr>
          <w:rFonts w:hint="eastAsia"/>
          <w:color w:val="auto"/>
          <w:highlight w:val="none"/>
        </w:rPr>
        <w:t>格式</w:t>
      </w:r>
      <w:bookmarkEnd w:id="18"/>
      <w:bookmarkEnd w:id="19"/>
      <w:bookmarkEnd w:id="20"/>
      <w:bookmarkEnd w:id="21"/>
      <w:bookmarkEnd w:id="22"/>
      <w:bookmarkEnd w:id="23"/>
      <w:bookmarkEnd w:id="24"/>
    </w:p>
    <w:p>
      <w:pPr>
        <w:pStyle w:val="6"/>
        <w:rPr>
          <w:color w:val="auto"/>
          <w:highlight w:val="none"/>
        </w:rPr>
      </w:pPr>
      <w:r>
        <w:rPr>
          <w:rFonts w:hint="eastAsia"/>
          <w:color w:val="auto"/>
          <w:highlight w:val="none"/>
        </w:rPr>
        <w:t>3.1 “商务技术文件”封面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90"/>
          <w:sz w:val="220"/>
          <w:szCs w:val="22"/>
          <w:highlight w:val="none"/>
          <w:lang w:eastAsia="zh-CN"/>
        </w:rPr>
      </w:pPr>
      <w:r>
        <w:rPr>
          <w:rFonts w:hint="eastAsia" w:ascii="华文中宋" w:hAnsi="华文中宋" w:eastAsia="华文中宋" w:cs="Arial"/>
          <w:b/>
          <w:color w:val="auto"/>
          <w:w w:val="90"/>
          <w:sz w:val="44"/>
          <w:szCs w:val="22"/>
          <w:highlight w:val="none"/>
          <w:lang w:eastAsia="zh-CN"/>
        </w:rPr>
        <w:t>平阳县人民医院后勤综合管控系统项目</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hint="eastAsia"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（商务技术文件）</w:t>
      </w:r>
    </w:p>
    <w:tbl>
      <w:tblPr>
        <w:tblStyle w:val="21"/>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rPr>
                <w:rFonts w:hint="eastAsia" w:ascii="仿宋" w:hAnsi="仿宋" w:eastAsia="仿宋"/>
                <w:color w:val="auto"/>
                <w:sz w:val="28"/>
                <w:szCs w:val="28"/>
                <w:highlight w:val="none"/>
              </w:rPr>
            </w:pPr>
          </w:p>
        </w:tc>
      </w:tr>
    </w:tbl>
    <w:p>
      <w:pPr>
        <w:rPr>
          <w:rFonts w:hint="eastAsia"/>
          <w:color w:val="auto"/>
          <w:highlight w:val="none"/>
        </w:rPr>
      </w:pPr>
    </w:p>
    <w:p>
      <w:pPr>
        <w:pStyle w:val="6"/>
        <w:rPr>
          <w:color w:val="auto"/>
          <w:highlight w:val="none"/>
        </w:rPr>
      </w:pPr>
      <w:r>
        <w:rPr>
          <w:color w:val="auto"/>
          <w:highlight w:val="none"/>
        </w:rPr>
        <w:br w:type="page"/>
      </w:r>
      <w:r>
        <w:rPr>
          <w:rFonts w:hint="eastAsia"/>
          <w:color w:val="auto"/>
          <w:highlight w:val="none"/>
        </w:rPr>
        <w:t>3.2供应商自评分指引表</w:t>
      </w:r>
    </w:p>
    <w:tbl>
      <w:tblPr>
        <w:tblStyle w:val="21"/>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bl>
    <w:p>
      <w:pPr>
        <w:rPr>
          <w:rFonts w:hint="eastAsia"/>
          <w:color w:val="auto"/>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r>
        <w:rPr>
          <w:rFonts w:hint="eastAsia"/>
          <w:color w:val="auto"/>
          <w:sz w:val="32"/>
          <w:highlight w:val="none"/>
        </w:rPr>
        <w:t>3.3</w:t>
      </w:r>
      <w:r>
        <w:rPr>
          <w:color w:val="auto"/>
          <w:sz w:val="32"/>
          <w:highlight w:val="none"/>
        </w:rPr>
        <w:t>供应商参与政府采购活动投标资格声明函</w:t>
      </w:r>
    </w:p>
    <w:p>
      <w:pPr>
        <w:snapToGrid w:val="0"/>
        <w:spacing w:line="360" w:lineRule="exact"/>
        <w:jc w:val="center"/>
        <w:rPr>
          <w:b/>
          <w:color w:val="auto"/>
          <w:sz w:val="32"/>
          <w:highlight w:val="none"/>
        </w:rPr>
      </w:pPr>
      <w:r>
        <w:rPr>
          <w:b/>
          <w:color w:val="auto"/>
          <w:sz w:val="32"/>
          <w:highlight w:val="none"/>
        </w:rPr>
        <w:t>供应商参与政府采购活动投标资格声明函</w:t>
      </w:r>
    </w:p>
    <w:tbl>
      <w:tblPr>
        <w:tblStyle w:val="21"/>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ind w:left="422" w:firstLine="331"/>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ind w:left="422" w:firstLine="361"/>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ind w:firstLine="450"/>
              <w:rPr>
                <w:color w:val="auto"/>
                <w:sz w:val="22"/>
                <w:highlight w:val="none"/>
              </w:rPr>
            </w:pPr>
            <w:r>
              <w:rPr>
                <w:color w:val="auto"/>
                <w:sz w:val="22"/>
                <w:highlight w:val="none"/>
              </w:rPr>
              <w:t>1、根据政府采购法第二十二条规定，我单位满足以下条件：</w:t>
            </w:r>
          </w:p>
          <w:p>
            <w:pPr>
              <w:snapToGrid w:val="0"/>
              <w:spacing w:line="400" w:lineRule="exact"/>
              <w:ind w:firstLine="450"/>
              <w:rPr>
                <w:color w:val="auto"/>
                <w:sz w:val="22"/>
                <w:highlight w:val="none"/>
              </w:rPr>
            </w:pPr>
            <w:r>
              <w:rPr>
                <w:color w:val="auto"/>
                <w:sz w:val="22"/>
                <w:highlight w:val="none"/>
              </w:rPr>
              <w:t xml:space="preserve">（一）具有独立承担民事责任的能力； </w:t>
            </w:r>
            <w:r>
              <w:rPr>
                <w:color w:val="auto"/>
                <w:sz w:val="22"/>
                <w:highlight w:val="none"/>
              </w:rPr>
              <w:br w:type="textWrapping"/>
            </w:r>
            <w:r>
              <w:rPr>
                <w:color w:val="auto"/>
                <w:sz w:val="22"/>
                <w:highlight w:val="none"/>
              </w:rPr>
              <w:t xml:space="preserve">　　（二）具有良好的商业信誉和健全的财务会计制度； </w:t>
            </w:r>
            <w:r>
              <w:rPr>
                <w:color w:val="auto"/>
                <w:sz w:val="22"/>
                <w:highlight w:val="none"/>
              </w:rPr>
              <w:br w:type="textWrapping"/>
            </w:r>
            <w:r>
              <w:rPr>
                <w:color w:val="auto"/>
                <w:sz w:val="22"/>
                <w:highlight w:val="none"/>
              </w:rPr>
              <w:t xml:space="preserve">　　（三）具有履行合同所必需的设备和专业技术能力； </w:t>
            </w:r>
            <w:r>
              <w:rPr>
                <w:color w:val="auto"/>
                <w:sz w:val="22"/>
                <w:highlight w:val="none"/>
              </w:rPr>
              <w:br w:type="textWrapping"/>
            </w:r>
            <w:r>
              <w:rPr>
                <w:color w:val="auto"/>
                <w:sz w:val="22"/>
                <w:highlight w:val="none"/>
              </w:rPr>
              <w:t xml:space="preserve">　　（四）有依法缴纳税收和社会保障资金的良好记录； </w:t>
            </w:r>
            <w:r>
              <w:rPr>
                <w:color w:val="auto"/>
                <w:sz w:val="22"/>
                <w:highlight w:val="none"/>
              </w:rPr>
              <w:br w:type="textWrapping"/>
            </w:r>
            <w:r>
              <w:rPr>
                <w:color w:val="auto"/>
                <w:sz w:val="22"/>
                <w:highlight w:val="none"/>
              </w:rPr>
              <w:t xml:space="preserve">　　（五）参加政府采购活动前三年内，在经营活动中没有重大违法记录； </w:t>
            </w:r>
            <w:r>
              <w:rPr>
                <w:color w:val="auto"/>
                <w:sz w:val="22"/>
                <w:highlight w:val="none"/>
              </w:rPr>
              <w:br w:type="textWrapping"/>
            </w:r>
            <w:r>
              <w:rPr>
                <w:color w:val="auto"/>
                <w:sz w:val="22"/>
                <w:highlight w:val="none"/>
              </w:rPr>
              <w:t xml:space="preserve">　　（六）法律、行政法规规定的其他条件。 </w:t>
            </w:r>
          </w:p>
          <w:p>
            <w:pPr>
              <w:snapToGrid w:val="0"/>
              <w:spacing w:line="400" w:lineRule="exact"/>
              <w:ind w:firstLine="450"/>
              <w:rPr>
                <w:b/>
                <w:color w:val="auto"/>
                <w:sz w:val="22"/>
                <w:highlight w:val="none"/>
              </w:rPr>
            </w:pPr>
            <w:r>
              <w:rPr>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auto"/>
                <w:sz w:val="22"/>
                <w:highlight w:val="none"/>
              </w:rPr>
              <w:t>我单位承诺不存在上述文件规定依法限制参与政府采购的情况。</w:t>
            </w:r>
          </w:p>
          <w:p>
            <w:pPr>
              <w:snapToGrid w:val="0"/>
              <w:spacing w:line="400" w:lineRule="exact"/>
              <w:ind w:firstLine="450"/>
              <w:rPr>
                <w:color w:val="auto"/>
                <w:sz w:val="22"/>
                <w:highlight w:val="none"/>
              </w:rPr>
            </w:pPr>
            <w:r>
              <w:rPr>
                <w:color w:val="auto"/>
                <w:sz w:val="22"/>
                <w:highlight w:val="none"/>
              </w:rPr>
              <w:t>3、我单位承诺没有被各地、各级财政部门限制参加政府采购活动。</w:t>
            </w:r>
          </w:p>
          <w:p>
            <w:pPr>
              <w:tabs>
                <w:tab w:val="center" w:pos="4483"/>
              </w:tabs>
              <w:snapToGrid w:val="0"/>
              <w:spacing w:line="360" w:lineRule="auto"/>
              <w:ind w:firstLine="400"/>
              <w:rPr>
                <w:color w:val="auto"/>
                <w:sz w:val="22"/>
                <w:highlight w:val="none"/>
                <w:u w:val="single"/>
              </w:rPr>
            </w:pPr>
            <w:r>
              <w:rPr>
                <w:color w:val="auto"/>
                <w:sz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color w:val="auto"/>
                <w:sz w:val="22"/>
                <w:highlight w:val="none"/>
              </w:rPr>
            </w:pPr>
            <w:r>
              <w:rPr>
                <w:color w:val="auto"/>
                <w:sz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供应商名称（加盖</w:t>
            </w:r>
            <w:r>
              <w:rPr>
                <w:rFonts w:hint="eastAsia"/>
                <w:color w:val="auto"/>
                <w:sz w:val="22"/>
                <w:highlight w:val="none"/>
                <w:lang w:val="en-US" w:eastAsia="zh-CN"/>
              </w:rPr>
              <w:t>公</w:t>
            </w:r>
            <w:r>
              <w:rPr>
                <w:color w:val="auto"/>
                <w:sz w:val="22"/>
                <w:highlight w:val="none"/>
              </w:rPr>
              <w:t>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16"/>
              <w:rPr>
                <w:color w:val="auto"/>
                <w:sz w:val="22"/>
                <w:highlight w:val="none"/>
              </w:rPr>
            </w:pPr>
            <w:r>
              <w:rPr>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签署日期：</w:t>
            </w:r>
          </w:p>
        </w:tc>
      </w:tr>
    </w:tbl>
    <w:p>
      <w:pPr>
        <w:snapToGrid w:val="0"/>
        <w:spacing w:line="460" w:lineRule="atLeast"/>
        <w:rPr>
          <w:rFonts w:hint="eastAsia"/>
          <w:color w:val="auto"/>
          <w:sz w:val="30"/>
          <w:highlight w:val="none"/>
        </w:rPr>
      </w:pPr>
    </w:p>
    <w:p>
      <w:pPr>
        <w:rPr>
          <w:rFonts w:hint="eastAsia"/>
          <w:color w:val="auto"/>
          <w:sz w:val="36"/>
          <w:highlight w:val="none"/>
        </w:rPr>
      </w:pPr>
    </w:p>
    <w:p>
      <w:pPr>
        <w:rPr>
          <w:rFonts w:hint="eastAsia"/>
          <w:color w:val="auto"/>
          <w:sz w:val="36"/>
          <w:highlight w:val="none"/>
        </w:rPr>
      </w:pPr>
    </w:p>
    <w:p>
      <w:pPr>
        <w:rPr>
          <w:rFonts w:hint="eastAsia"/>
          <w:color w:val="auto"/>
          <w:sz w:val="36"/>
          <w:highlight w:val="none"/>
        </w:rPr>
      </w:pPr>
    </w:p>
    <w:p>
      <w:pPr>
        <w:pStyle w:val="10"/>
        <w:adjustRightInd w:val="0"/>
        <w:snapToGrid w:val="0"/>
        <w:spacing w:line="500" w:lineRule="exact"/>
        <w:rPr>
          <w:rFonts w:hint="eastAsia" w:hAnsi="宋体"/>
          <w:color w:val="auto"/>
          <w:sz w:val="36"/>
          <w:highlight w:val="none"/>
        </w:rPr>
      </w:pPr>
      <w:r>
        <w:rPr>
          <w:rFonts w:hint="eastAsia" w:hAnsi="宋体" w:cs="宋体"/>
          <w:color w:val="auto"/>
          <w:kern w:val="0"/>
          <w:sz w:val="32"/>
          <w:szCs w:val="24"/>
          <w:highlight w:val="none"/>
        </w:rPr>
        <w:t>3.4投标函</w:t>
      </w:r>
      <w:r>
        <w:rPr>
          <w:rFonts w:hint="eastAsia" w:hAnsi="宋体" w:cs="宋体"/>
          <w:color w:val="auto"/>
          <w:kern w:val="0"/>
          <w:sz w:val="32"/>
          <w:szCs w:val="24"/>
          <w:highlight w:val="none"/>
        </w:rPr>
        <w:cr/>
      </w:r>
      <w:r>
        <w:rPr>
          <w:rFonts w:hint="eastAsia" w:hAnsi="宋体"/>
          <w:color w:val="auto"/>
          <w:sz w:val="32"/>
          <w:highlight w:val="none"/>
        </w:rPr>
        <w:t xml:space="preserve">                         </w:t>
      </w:r>
      <w:r>
        <w:rPr>
          <w:rFonts w:hint="eastAsia" w:hAnsi="宋体"/>
          <w:color w:val="auto"/>
          <w:sz w:val="36"/>
          <w:highlight w:val="none"/>
        </w:rPr>
        <w:t>投  标  函</w:t>
      </w:r>
    </w:p>
    <w:p>
      <w:pPr>
        <w:pStyle w:val="10"/>
        <w:adjustRightInd w:val="0"/>
        <w:snapToGrid w:val="0"/>
        <w:spacing w:line="360" w:lineRule="atLeast"/>
        <w:ind w:firstLine="450"/>
        <w:rPr>
          <w:rFonts w:hint="eastAsia" w:hAnsi="宋体"/>
          <w:color w:val="auto"/>
          <w:sz w:val="22"/>
          <w:szCs w:val="22"/>
          <w:highlight w:val="none"/>
          <w:u w:val="single"/>
        </w:rPr>
      </w:pPr>
      <w:r>
        <w:rPr>
          <w:rFonts w:hint="eastAsia" w:hAnsi="宋体"/>
          <w:color w:val="auto"/>
          <w:sz w:val="22"/>
          <w:szCs w:val="22"/>
          <w:highlight w:val="none"/>
          <w:u w:val="single"/>
        </w:rPr>
        <w:t>平阳县人民医院：</w:t>
      </w:r>
    </w:p>
    <w:p>
      <w:pPr>
        <w:pStyle w:val="10"/>
        <w:adjustRightInd w:val="0"/>
        <w:snapToGrid w:val="0"/>
        <w:spacing w:line="360" w:lineRule="atLeast"/>
        <w:ind w:firstLine="450"/>
        <w:rPr>
          <w:rFonts w:hint="eastAsia" w:hAnsi="宋体"/>
          <w:color w:val="auto"/>
          <w:sz w:val="22"/>
          <w:szCs w:val="22"/>
          <w:highlight w:val="none"/>
        </w:rPr>
      </w:pPr>
    </w:p>
    <w:p>
      <w:pPr>
        <w:autoSpaceDE w:val="0"/>
        <w:autoSpaceDN w:val="0"/>
        <w:adjustRightInd w:val="0"/>
        <w:snapToGrid w:val="0"/>
        <w:spacing w:line="360" w:lineRule="atLeast"/>
        <w:rPr>
          <w:rFonts w:cs="仿宋_GB2312"/>
          <w:color w:val="auto"/>
          <w:sz w:val="22"/>
          <w:szCs w:val="22"/>
          <w:highlight w:val="none"/>
          <w:lang w:val="zh-CN"/>
        </w:rPr>
      </w:pPr>
      <w:r>
        <w:rPr>
          <w:rFonts w:hint="eastAsia"/>
          <w:color w:val="auto"/>
          <w:sz w:val="22"/>
          <w:szCs w:val="22"/>
          <w:highlight w:val="none"/>
        </w:rPr>
        <w:t xml:space="preserve">     </w:t>
      </w:r>
      <w:r>
        <w:rPr>
          <w:rFonts w:cs="仿宋_GB2312"/>
          <w:color w:val="auto"/>
          <w:sz w:val="22"/>
          <w:szCs w:val="22"/>
          <w:highlight w:val="none"/>
          <w:lang w:val="zh-CN"/>
        </w:rPr>
        <w:t xml:space="preserve"> </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（供应商全称）授权</w:t>
      </w:r>
      <w:r>
        <w:rPr>
          <w:rFonts w:cs="仿宋_GB2312"/>
          <w:color w:val="auto"/>
          <w:sz w:val="22"/>
          <w:szCs w:val="22"/>
          <w:highlight w:val="none"/>
          <w:u w:val="single"/>
          <w:lang w:val="zh-CN"/>
        </w:rPr>
        <w:t xml:space="preserve">              </w:t>
      </w:r>
      <w:r>
        <w:rPr>
          <w:rFonts w:cs="仿宋_GB2312"/>
          <w:color w:val="auto"/>
          <w:sz w:val="22"/>
          <w:szCs w:val="22"/>
          <w:highlight w:val="none"/>
          <w:lang w:val="zh-CN"/>
        </w:rPr>
        <w:t xml:space="preserve"> </w:t>
      </w:r>
      <w:r>
        <w:rPr>
          <w:rFonts w:hint="eastAsia" w:cs="仿宋_GB2312"/>
          <w:color w:val="auto"/>
          <w:sz w:val="22"/>
          <w:szCs w:val="22"/>
          <w:highlight w:val="none"/>
          <w:lang w:val="zh-CN"/>
        </w:rPr>
        <w:t>（授权代表名称）</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（职务、职称）为授权代表，参加贵方组织的</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（招标项目名称）（括号内填投标编号）招标的有关活动，为此：并对</w:t>
      </w:r>
      <w:r>
        <w:rPr>
          <w:rFonts w:hint="eastAsia" w:cs="仿宋_GB2312"/>
          <w:color w:val="auto"/>
          <w:sz w:val="22"/>
          <w:szCs w:val="22"/>
          <w:highlight w:val="none"/>
          <w:u w:val="single"/>
          <w:lang w:val="zh-CN"/>
        </w:rPr>
        <w:t xml:space="preserve">            </w:t>
      </w:r>
      <w:r>
        <w:rPr>
          <w:rFonts w:hint="eastAsia" w:cs="仿宋_GB2312"/>
          <w:color w:val="auto"/>
          <w:sz w:val="22"/>
          <w:szCs w:val="22"/>
          <w:highlight w:val="none"/>
          <w:lang w:val="zh-CN"/>
        </w:rPr>
        <w:t>项目（采购项目名称）进行投标。</w:t>
      </w:r>
      <w:r>
        <w:rPr>
          <w:rFonts w:cs="仿宋_GB2312"/>
          <w:color w:val="auto"/>
          <w:sz w:val="22"/>
          <w:szCs w:val="22"/>
          <w:highlight w:val="none"/>
          <w:lang w:val="zh-CN"/>
        </w:rPr>
        <w:t xml:space="preserve">   </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cs="仿宋_GB2312"/>
          <w:color w:val="auto"/>
          <w:sz w:val="22"/>
          <w:szCs w:val="22"/>
          <w:highlight w:val="none"/>
          <w:lang w:val="zh-CN"/>
        </w:rPr>
        <w:t>2</w:t>
      </w:r>
      <w:r>
        <w:rPr>
          <w:rFonts w:hint="eastAsia" w:cs="仿宋_GB2312"/>
          <w:color w:val="auto"/>
          <w:sz w:val="22"/>
          <w:szCs w:val="22"/>
          <w:highlight w:val="none"/>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3、保证忠实地执行采购人、中标供应商双方所签的合同，</w:t>
      </w:r>
      <w:r>
        <w:rPr>
          <w:rFonts w:cs="仿宋_GB2312"/>
          <w:color w:val="auto"/>
          <w:sz w:val="22"/>
          <w:szCs w:val="22"/>
          <w:highlight w:val="none"/>
          <w:lang w:val="zh-CN"/>
        </w:rPr>
        <w:t xml:space="preserve"> </w:t>
      </w:r>
      <w:r>
        <w:rPr>
          <w:rFonts w:hint="eastAsia" w:cs="仿宋_GB2312"/>
          <w:color w:val="auto"/>
          <w:sz w:val="22"/>
          <w:szCs w:val="22"/>
          <w:highlight w:val="none"/>
          <w:lang w:val="zh-CN"/>
        </w:rPr>
        <w:t>并承担合同规定的责任义务。</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4、我方承诺在合同生效后</w:t>
      </w:r>
      <w:r>
        <w:rPr>
          <w:rFonts w:hint="eastAsia" w:cs="仿宋_GB2312"/>
          <w:b/>
          <w:color w:val="auto"/>
          <w:sz w:val="22"/>
          <w:szCs w:val="22"/>
          <w:highlight w:val="none"/>
          <w:u w:val="single"/>
          <w:lang w:val="zh-CN"/>
        </w:rPr>
        <w:t>按招标文件要求完成本项目</w:t>
      </w:r>
      <w:r>
        <w:rPr>
          <w:rFonts w:hint="eastAsia" w:cs="仿宋_GB2312"/>
          <w:color w:val="auto"/>
          <w:sz w:val="22"/>
          <w:szCs w:val="22"/>
          <w:highlight w:val="none"/>
          <w:lang w:val="zh-CN"/>
        </w:rPr>
        <w:t>。</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7、我公司近三年内没有行贿受贿记录；我公司符合</w:t>
      </w:r>
      <w:r>
        <w:rPr>
          <w:color w:val="auto"/>
          <w:sz w:val="22"/>
          <w:szCs w:val="22"/>
          <w:highlight w:val="none"/>
        </w:rPr>
        <w:t>《中华人民共和国政府采购法》</w:t>
      </w:r>
      <w:r>
        <w:rPr>
          <w:rFonts w:hint="eastAsia"/>
          <w:color w:val="auto"/>
          <w:sz w:val="22"/>
          <w:szCs w:val="22"/>
          <w:highlight w:val="none"/>
        </w:rPr>
        <w:t>第二十二条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s="仿宋_GB2312"/>
          <w:color w:val="auto"/>
          <w:sz w:val="22"/>
          <w:szCs w:val="22"/>
          <w:highlight w:val="none"/>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9、本投标自开标之日起9</w:t>
      </w:r>
      <w:r>
        <w:rPr>
          <w:rFonts w:cs="仿宋_GB2312"/>
          <w:color w:val="auto"/>
          <w:sz w:val="22"/>
          <w:szCs w:val="22"/>
          <w:highlight w:val="none"/>
          <w:lang w:val="zh-CN"/>
        </w:rPr>
        <w:t>0</w:t>
      </w:r>
      <w:r>
        <w:rPr>
          <w:rFonts w:hint="eastAsia" w:cs="仿宋_GB2312"/>
          <w:color w:val="auto"/>
          <w:sz w:val="22"/>
          <w:szCs w:val="22"/>
          <w:highlight w:val="none"/>
          <w:lang w:val="zh-CN"/>
        </w:rPr>
        <w:t>天内有效。</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地址：</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邮编：</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电话：</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传真：</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26" w:firstLineChars="12"/>
        <w:rPr>
          <w:rFonts w:hint="eastAsia" w:cs="仿宋_GB2312"/>
          <w:color w:val="auto"/>
          <w:sz w:val="22"/>
          <w:szCs w:val="22"/>
          <w:highlight w:val="none"/>
          <w:lang w:val="zh-CN"/>
        </w:rPr>
      </w:pP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日期：</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p>
    <w:p>
      <w:pPr>
        <w:autoSpaceDE w:val="0"/>
        <w:autoSpaceDN w:val="0"/>
        <w:adjustRightInd w:val="0"/>
        <w:snapToGrid w:val="0"/>
        <w:spacing w:line="360" w:lineRule="atLeast"/>
        <w:ind w:firstLine="687" w:firstLineChars="285"/>
        <w:rPr>
          <w:rFonts w:cs="仿宋_GB2312"/>
          <w:b/>
          <w:color w:val="auto"/>
          <w:sz w:val="22"/>
          <w:szCs w:val="22"/>
          <w:highlight w:val="none"/>
          <w:u w:val="single"/>
          <w:lang w:val="zh-CN"/>
        </w:rPr>
      </w:pPr>
      <w:r>
        <w:rPr>
          <w:rFonts w:hint="eastAsia"/>
          <w:b/>
          <w:color w:val="auto"/>
          <w:highlight w:val="none"/>
          <w:u w:val="single"/>
        </w:rPr>
        <w:t>不提供本函做无效投标处理。</w:t>
      </w:r>
    </w:p>
    <w:p>
      <w:pPr>
        <w:pStyle w:val="10"/>
        <w:spacing w:line="400" w:lineRule="atLeast"/>
        <w:rPr>
          <w:rFonts w:hint="eastAsia" w:hAnsi="宋体"/>
          <w:b/>
          <w:color w:val="auto"/>
          <w:sz w:val="32"/>
          <w:szCs w:val="32"/>
          <w:highlight w:val="none"/>
        </w:rPr>
      </w:pPr>
    </w:p>
    <w:p>
      <w:pPr>
        <w:pStyle w:val="10"/>
        <w:spacing w:line="400" w:lineRule="atLeast"/>
        <w:rPr>
          <w:rFonts w:hint="eastAsia" w:hAnsi="宋体"/>
          <w:b/>
          <w:color w:val="auto"/>
          <w:sz w:val="32"/>
          <w:szCs w:val="32"/>
          <w:highlight w:val="none"/>
        </w:rPr>
      </w:pPr>
    </w:p>
    <w:p>
      <w:pPr>
        <w:pStyle w:val="10"/>
        <w:spacing w:line="400" w:lineRule="atLeast"/>
        <w:rPr>
          <w:rFonts w:hint="eastAsia" w:hAnsi="宋体"/>
          <w:b/>
          <w:color w:val="auto"/>
          <w:sz w:val="32"/>
          <w:szCs w:val="32"/>
          <w:highlight w:val="none"/>
        </w:rPr>
      </w:pPr>
    </w:p>
    <w:p>
      <w:pPr>
        <w:pStyle w:val="10"/>
        <w:spacing w:line="400" w:lineRule="atLeast"/>
        <w:rPr>
          <w:rFonts w:hint="eastAsia" w:hAnsi="宋体"/>
          <w:b/>
          <w:color w:val="auto"/>
          <w:sz w:val="32"/>
          <w:szCs w:val="32"/>
          <w:highlight w:val="none"/>
        </w:rPr>
      </w:pPr>
    </w:p>
    <w:p>
      <w:pPr>
        <w:pStyle w:val="10"/>
        <w:spacing w:line="400" w:lineRule="atLeast"/>
        <w:rPr>
          <w:rFonts w:hint="eastAsia" w:hAnsi="宋体"/>
          <w:b/>
          <w:color w:val="auto"/>
          <w:sz w:val="32"/>
          <w:szCs w:val="32"/>
          <w:highlight w:val="none"/>
        </w:rPr>
      </w:pPr>
    </w:p>
    <w:p>
      <w:pPr>
        <w:tabs>
          <w:tab w:val="left" w:pos="1080"/>
        </w:tabs>
        <w:autoSpaceDE w:val="0"/>
        <w:autoSpaceDN w:val="0"/>
        <w:adjustRightInd w:val="0"/>
        <w:spacing w:line="440" w:lineRule="atLeast"/>
        <w:outlineLvl w:val="0"/>
        <w:rPr>
          <w:rFonts w:hint="eastAsia"/>
          <w:color w:val="auto"/>
          <w:sz w:val="32"/>
          <w:highlight w:val="none"/>
        </w:rPr>
      </w:pPr>
    </w:p>
    <w:p>
      <w:pPr>
        <w:tabs>
          <w:tab w:val="left" w:pos="1080"/>
        </w:tabs>
        <w:autoSpaceDE w:val="0"/>
        <w:autoSpaceDN w:val="0"/>
        <w:adjustRightInd w:val="0"/>
        <w:spacing w:line="440" w:lineRule="atLeast"/>
        <w:outlineLvl w:val="0"/>
        <w:rPr>
          <w:rFonts w:hint="eastAsia"/>
          <w:color w:val="auto"/>
          <w:sz w:val="32"/>
          <w:highlight w:val="none"/>
        </w:rPr>
      </w:pPr>
      <w:r>
        <w:rPr>
          <w:rFonts w:hint="eastAsia"/>
          <w:color w:val="auto"/>
          <w:sz w:val="32"/>
          <w:highlight w:val="none"/>
        </w:rPr>
        <w:t>3.5法定代表人授权书</w:t>
      </w:r>
    </w:p>
    <w:p>
      <w:pPr>
        <w:tabs>
          <w:tab w:val="left" w:pos="1080"/>
        </w:tabs>
        <w:autoSpaceDE w:val="0"/>
        <w:autoSpaceDN w:val="0"/>
        <w:adjustRightInd w:val="0"/>
        <w:spacing w:line="440" w:lineRule="atLeast"/>
        <w:jc w:val="center"/>
        <w:outlineLvl w:val="0"/>
        <w:rPr>
          <w:b/>
          <w:color w:val="auto"/>
          <w:sz w:val="36"/>
          <w:highlight w:val="none"/>
          <w:lang w:val="zh-CN"/>
        </w:rPr>
      </w:pPr>
      <w:r>
        <w:rPr>
          <w:rFonts w:hint="eastAsia"/>
          <w:b/>
          <w:color w:val="auto"/>
          <w:sz w:val="36"/>
          <w:highlight w:val="none"/>
          <w:lang w:val="zh-CN"/>
        </w:rPr>
        <w:t>法定代表人授权书</w:t>
      </w:r>
    </w:p>
    <w:p>
      <w:pPr>
        <w:spacing w:line="360" w:lineRule="auto"/>
        <w:rPr>
          <w:rFonts w:hint="eastAsia"/>
          <w:color w:val="auto"/>
          <w:highlight w:val="none"/>
          <w:u w:val="single"/>
        </w:rPr>
      </w:pPr>
    </w:p>
    <w:p>
      <w:pPr>
        <w:pStyle w:val="10"/>
        <w:adjustRightInd w:val="0"/>
        <w:snapToGrid w:val="0"/>
        <w:spacing w:line="340" w:lineRule="atLeast"/>
        <w:rPr>
          <w:rFonts w:hint="eastAsia" w:hAnsi="宋体"/>
          <w:color w:val="auto"/>
          <w:sz w:val="22"/>
          <w:szCs w:val="22"/>
          <w:highlight w:val="none"/>
        </w:rPr>
      </w:pPr>
      <w:r>
        <w:rPr>
          <w:rFonts w:hint="eastAsia" w:hAnsi="宋体"/>
          <w:color w:val="auto"/>
          <w:sz w:val="22"/>
          <w:szCs w:val="22"/>
          <w:highlight w:val="none"/>
          <w:u w:val="single"/>
        </w:rPr>
        <w:t>平阳县人民医院</w:t>
      </w:r>
      <w:r>
        <w:rPr>
          <w:rFonts w:hint="eastAsia" w:hAnsi="宋体"/>
          <w:color w:val="auto"/>
          <w:sz w:val="22"/>
          <w:szCs w:val="22"/>
          <w:highlight w:val="none"/>
        </w:rPr>
        <w:t>：</w:t>
      </w:r>
    </w:p>
    <w:p>
      <w:pPr>
        <w:pStyle w:val="10"/>
        <w:adjustRightInd w:val="0"/>
        <w:snapToGrid w:val="0"/>
        <w:spacing w:line="340" w:lineRule="atLeast"/>
        <w:rPr>
          <w:rFonts w:hint="eastAsia" w:hAnsi="宋体"/>
          <w:color w:val="auto"/>
          <w:sz w:val="22"/>
          <w:szCs w:val="22"/>
          <w:highlight w:val="none"/>
          <w:u w:val="single"/>
        </w:rPr>
      </w:pPr>
    </w:p>
    <w:p>
      <w:pPr>
        <w:snapToGrid w:val="0"/>
        <w:spacing w:line="440" w:lineRule="atLeast"/>
        <w:ind w:firstLine="480" w:firstLineChars="200"/>
        <w:rPr>
          <w:rFonts w:hint="eastAsia"/>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pPr>
        <w:snapToGrid w:val="0"/>
        <w:spacing w:line="440" w:lineRule="atLeast"/>
        <w:ind w:firstLine="480" w:firstLineChars="200"/>
        <w:rPr>
          <w:rFonts w:hint="eastAsia"/>
          <w:color w:val="auto"/>
          <w:highlight w:val="none"/>
        </w:rPr>
      </w:pPr>
      <w:r>
        <w:rPr>
          <w:rFonts w:hint="eastAsia"/>
          <w:color w:val="auto"/>
          <w:highlight w:val="none"/>
        </w:rPr>
        <w:t>授权代表无转授权，特此授权</w:t>
      </w:r>
    </w:p>
    <w:p>
      <w:pPr>
        <w:snapToGrid w:val="0"/>
        <w:spacing w:line="440" w:lineRule="atLeast"/>
        <w:ind w:left="1260"/>
        <w:rPr>
          <w:rFonts w:hint="eastAsia"/>
          <w:color w:val="auto"/>
          <w:highlight w:val="none"/>
        </w:rPr>
      </w:pPr>
    </w:p>
    <w:p>
      <w:pPr>
        <w:snapToGrid w:val="0"/>
        <w:spacing w:line="440" w:lineRule="atLeast"/>
        <w:ind w:left="2174" w:leftChars="247" w:hanging="1581" w:hangingChars="659"/>
        <w:rPr>
          <w:rFonts w:hint="eastAsia"/>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pPr>
        <w:snapToGrid w:val="0"/>
        <w:spacing w:line="440" w:lineRule="atLeast"/>
        <w:ind w:left="2174" w:leftChars="247" w:hanging="1581" w:hangingChars="659"/>
        <w:rPr>
          <w:rFonts w:hint="eastAsia"/>
          <w:color w:val="auto"/>
          <w:highlight w:val="none"/>
          <w:u w:val="singl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pPr>
        <w:snapToGrid w:val="0"/>
        <w:spacing w:line="440" w:lineRule="atLeast"/>
        <w:ind w:left="2174" w:leftChars="247" w:hanging="1581" w:hangingChars="659"/>
        <w:rPr>
          <w:rFonts w:hint="eastAsia"/>
          <w:color w:val="auto"/>
          <w:highlight w:val="none"/>
          <w:u w:val="singl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pPr>
        <w:snapToGrid w:val="0"/>
        <w:spacing w:line="440" w:lineRule="atLeast"/>
        <w:ind w:left="2174" w:leftChars="247" w:hanging="1581" w:hangingChars="659"/>
        <w:rPr>
          <w:rFonts w:hint="eastAsia"/>
          <w:color w:val="auto"/>
          <w:highlight w:val="none"/>
          <w:u w:val="singl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pPr>
        <w:snapToGrid w:val="0"/>
        <w:spacing w:line="440" w:lineRule="atLeast"/>
        <w:ind w:left="2174" w:leftChars="247" w:hanging="1581" w:hangingChars="659"/>
        <w:rPr>
          <w:rFonts w:hint="eastAsia"/>
          <w:color w:val="auto"/>
          <w:highlight w:val="none"/>
          <w:u w:val="single"/>
        </w:rPr>
      </w:pPr>
      <w:r>
        <w:rPr>
          <w:rFonts w:hint="eastAsia"/>
          <w:color w:val="auto"/>
          <w:highlight w:val="none"/>
        </w:rPr>
        <w:t>供应商：</w:t>
      </w:r>
      <w:r>
        <w:rPr>
          <w:rFonts w:hint="eastAsia"/>
          <w:color w:val="auto"/>
          <w:highlight w:val="none"/>
          <w:u w:val="single"/>
        </w:rPr>
        <w:t xml:space="preserve">                                      （盖章）</w:t>
      </w:r>
    </w:p>
    <w:p>
      <w:pPr>
        <w:snapToGrid w:val="0"/>
        <w:spacing w:line="440" w:lineRule="atLeast"/>
        <w:ind w:left="2174" w:leftChars="247" w:hanging="1581" w:hangingChars="659"/>
        <w:rPr>
          <w:rFonts w:hint="eastAsia"/>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pPr>
        <w:snapToGrid w:val="0"/>
        <w:spacing w:line="440" w:lineRule="atLeast"/>
        <w:ind w:left="2699"/>
        <w:rPr>
          <w:rFonts w:hint="eastAsia"/>
          <w:color w:val="auto"/>
          <w:highlight w:val="none"/>
        </w:rPr>
      </w:pPr>
    </w:p>
    <w:p>
      <w:pPr>
        <w:snapToGrid w:val="0"/>
        <w:spacing w:line="440" w:lineRule="atLeast"/>
        <w:ind w:left="3238" w:leftChars="1349" w:firstLine="2400" w:firstLineChars="1000"/>
        <w:rPr>
          <w:rFonts w:hint="eastAsia"/>
          <w:color w:val="auto"/>
          <w:highlight w:val="none"/>
        </w:rPr>
      </w:pPr>
    </w:p>
    <w:p>
      <w:pPr>
        <w:snapToGrid w:val="0"/>
        <w:spacing w:line="440" w:lineRule="atLeast"/>
        <w:ind w:firstLine="3600" w:firstLineChars="1500"/>
        <w:jc w:val="right"/>
        <w:rPr>
          <w:rFonts w:hint="eastAsia"/>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pPr>
        <w:spacing w:line="360" w:lineRule="auto"/>
        <w:ind w:firstLine="3614" w:firstLineChars="1500"/>
        <w:jc w:val="right"/>
        <w:rPr>
          <w:rFonts w:hint="eastAsia"/>
          <w:b/>
          <w:color w:val="auto"/>
          <w:highlight w:val="none"/>
        </w:rPr>
      </w:pP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noWrap w:val="0"/>
            <w:vAlign w:val="top"/>
          </w:tcPr>
          <w:p>
            <w:pPr>
              <w:pStyle w:val="10"/>
              <w:widowControl w:val="0"/>
              <w:adjustRightInd w:val="0"/>
              <w:snapToGrid w:val="0"/>
              <w:spacing w:line="320" w:lineRule="atLeast"/>
              <w:jc w:val="both"/>
              <w:rPr>
                <w:rFonts w:hint="eastAsia" w:hAnsi="宋体"/>
                <w:color w:val="auto"/>
                <w:sz w:val="36"/>
                <w:szCs w:val="24"/>
                <w:highlight w:val="none"/>
                <w:u w:val="single"/>
              </w:rPr>
            </w:pPr>
          </w:p>
          <w:p>
            <w:pPr>
              <w:pStyle w:val="10"/>
              <w:widowControl w:val="0"/>
              <w:adjustRightInd w:val="0"/>
              <w:snapToGrid w:val="0"/>
              <w:spacing w:line="320" w:lineRule="atLeast"/>
              <w:jc w:val="both"/>
              <w:rPr>
                <w:rFonts w:hint="eastAsia" w:hAnsi="宋体"/>
                <w:color w:val="auto"/>
                <w:sz w:val="36"/>
                <w:szCs w:val="24"/>
                <w:highlight w:val="none"/>
                <w:u w:val="single"/>
              </w:rPr>
            </w:pPr>
          </w:p>
          <w:p>
            <w:pPr>
              <w:pStyle w:val="10"/>
              <w:widowControl w:val="0"/>
              <w:adjustRightInd w:val="0"/>
              <w:snapToGrid w:val="0"/>
              <w:spacing w:line="320" w:lineRule="atLeast"/>
              <w:jc w:val="center"/>
              <w:rPr>
                <w:rFonts w:hint="eastAsia"/>
                <w:b/>
                <w:color w:val="auto"/>
                <w:sz w:val="24"/>
                <w:szCs w:val="24"/>
                <w:highlight w:val="none"/>
              </w:rPr>
            </w:pPr>
            <w:r>
              <w:rPr>
                <w:rFonts w:hint="eastAsia"/>
                <w:b/>
                <w:color w:val="auto"/>
                <w:sz w:val="24"/>
                <w:szCs w:val="24"/>
                <w:highlight w:val="none"/>
              </w:rPr>
              <w:t>（授权代表身份证复印件或影印件）</w:t>
            </w:r>
          </w:p>
        </w:tc>
      </w:tr>
    </w:tbl>
    <w:p>
      <w:pPr>
        <w:spacing w:line="360" w:lineRule="auto"/>
        <w:ind w:firstLine="3614" w:firstLineChars="1500"/>
        <w:jc w:val="right"/>
        <w:rPr>
          <w:rFonts w:hint="eastAsia"/>
          <w:b/>
          <w:color w:val="auto"/>
          <w:highlight w:val="none"/>
        </w:rPr>
      </w:pPr>
    </w:p>
    <w:p>
      <w:pPr>
        <w:pStyle w:val="10"/>
        <w:adjustRightInd w:val="0"/>
        <w:snapToGrid w:val="0"/>
        <w:spacing w:line="320" w:lineRule="atLeast"/>
        <w:jc w:val="center"/>
        <w:outlineLvl w:val="0"/>
        <w:rPr>
          <w:rFonts w:hint="eastAsia" w:hAnsi="宋体"/>
          <w:b/>
          <w:color w:val="auto"/>
          <w:sz w:val="36"/>
          <w:highlight w:val="none"/>
        </w:rPr>
      </w:pPr>
    </w:p>
    <w:p>
      <w:pPr>
        <w:pStyle w:val="10"/>
        <w:adjustRightInd w:val="0"/>
        <w:snapToGrid w:val="0"/>
        <w:spacing w:line="320" w:lineRule="atLeast"/>
        <w:outlineLvl w:val="0"/>
        <w:rPr>
          <w:rFonts w:hint="eastAsia"/>
          <w:color w:val="auto"/>
          <w:sz w:val="32"/>
          <w:highlight w:val="none"/>
        </w:rPr>
      </w:pPr>
      <w:r>
        <w:rPr>
          <w:rFonts w:hint="eastAsia" w:hAnsi="宋体" w:cs="宋体"/>
          <w:color w:val="auto"/>
          <w:kern w:val="0"/>
          <w:sz w:val="32"/>
          <w:szCs w:val="24"/>
          <w:highlight w:val="none"/>
        </w:rPr>
        <w:t>3.</w:t>
      </w:r>
      <w:r>
        <w:rPr>
          <w:rFonts w:hint="eastAsia"/>
          <w:color w:val="auto"/>
          <w:sz w:val="32"/>
          <w:highlight w:val="none"/>
        </w:rPr>
        <w:t>6投标供应商情况声明</w:t>
      </w:r>
    </w:p>
    <w:p>
      <w:pPr>
        <w:pStyle w:val="10"/>
        <w:adjustRightInd w:val="0"/>
        <w:snapToGrid w:val="0"/>
        <w:spacing w:line="320" w:lineRule="atLeast"/>
        <w:jc w:val="center"/>
        <w:outlineLvl w:val="0"/>
        <w:rPr>
          <w:rFonts w:hAnsi="宋体"/>
          <w:b/>
          <w:color w:val="auto"/>
          <w:sz w:val="36"/>
          <w:highlight w:val="none"/>
        </w:rPr>
      </w:pPr>
      <w:r>
        <w:rPr>
          <w:rFonts w:hint="eastAsia" w:hAnsi="宋体"/>
          <w:b/>
          <w:color w:val="auto"/>
          <w:sz w:val="36"/>
          <w:highlight w:val="none"/>
        </w:rPr>
        <w:t>投标供应商情况声明</w:t>
      </w:r>
    </w:p>
    <w:p>
      <w:pPr>
        <w:spacing w:line="400" w:lineRule="exact"/>
        <w:outlineLvl w:val="0"/>
        <w:rPr>
          <w:rFonts w:hint="eastAsia"/>
          <w:color w:val="auto"/>
          <w:sz w:val="22"/>
          <w:highlight w:val="none"/>
        </w:rPr>
      </w:pPr>
      <w:r>
        <w:rPr>
          <w:rFonts w:hint="eastAsia"/>
          <w:color w:val="auto"/>
          <w:sz w:val="22"/>
          <w:highlight w:val="none"/>
        </w:rPr>
        <w:t>1. 名称及概况：</w:t>
      </w:r>
    </w:p>
    <w:p>
      <w:pPr>
        <w:spacing w:line="400" w:lineRule="exact"/>
        <w:rPr>
          <w:rFonts w:hint="eastAsia"/>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pPr>
        <w:spacing w:line="400" w:lineRule="exact"/>
        <w:ind w:firstLine="600"/>
        <w:rPr>
          <w:rFonts w:hint="eastAsia"/>
          <w:color w:val="auto"/>
          <w:sz w:val="22"/>
          <w:highlight w:val="none"/>
          <w:u w:val="single"/>
        </w:rPr>
      </w:pPr>
      <w:r>
        <w:rPr>
          <w:rFonts w:hint="eastAsia"/>
          <w:color w:val="auto"/>
          <w:sz w:val="22"/>
          <w:highlight w:val="none"/>
        </w:rPr>
        <w:t>传真/电话号码：</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pPr>
        <w:spacing w:line="400" w:lineRule="exact"/>
        <w:rPr>
          <w:rFonts w:hint="eastAsia"/>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pPr>
        <w:spacing w:line="360" w:lineRule="exact"/>
        <w:ind w:left="660" w:hanging="660" w:hangingChars="300"/>
        <w:rPr>
          <w:rFonts w:hint="eastAsia"/>
          <w:color w:val="auto"/>
          <w:sz w:val="22"/>
          <w:highlight w:val="none"/>
        </w:rPr>
      </w:pPr>
      <w:r>
        <w:rPr>
          <w:rFonts w:hint="eastAsia"/>
          <w:color w:val="auto"/>
          <w:sz w:val="22"/>
          <w:highlight w:val="none"/>
        </w:rPr>
        <w:t>2．企业生产设备及规模：</w:t>
      </w:r>
    </w:p>
    <w:p>
      <w:pPr>
        <w:spacing w:line="360" w:lineRule="exact"/>
        <w:ind w:left="660" w:hanging="660" w:hangingChars="300"/>
        <w:outlineLvl w:val="0"/>
        <w:rPr>
          <w:rFonts w:hint="eastAsia"/>
          <w:color w:val="auto"/>
          <w:sz w:val="22"/>
          <w:highlight w:val="none"/>
        </w:rPr>
      </w:pPr>
      <w:r>
        <w:rPr>
          <w:rFonts w:hint="eastAsia"/>
          <w:color w:val="auto"/>
          <w:sz w:val="22"/>
          <w:highlight w:val="none"/>
        </w:rPr>
        <w:t>3. 企业人员情况：</w:t>
      </w:r>
    </w:p>
    <w:p>
      <w:pPr>
        <w:spacing w:line="400" w:lineRule="exact"/>
        <w:rPr>
          <w:rFonts w:hint="eastAsia"/>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pPr>
        <w:spacing w:line="360" w:lineRule="exact"/>
        <w:ind w:left="660" w:hanging="660" w:hangingChars="300"/>
        <w:outlineLvl w:val="0"/>
        <w:rPr>
          <w:rFonts w:hint="eastAsia"/>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pPr>
        <w:spacing w:line="400" w:lineRule="exact"/>
        <w:ind w:firstLine="220" w:firstLineChars="100"/>
        <w:rPr>
          <w:rFonts w:hint="eastAsia"/>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pPr>
        <w:spacing w:line="400" w:lineRule="exact"/>
        <w:rPr>
          <w:rFonts w:hint="eastAsia"/>
          <w:color w:val="auto"/>
          <w:sz w:val="22"/>
          <w:highlight w:val="none"/>
        </w:rPr>
      </w:pPr>
    </w:p>
    <w:p>
      <w:pPr>
        <w:spacing w:line="400" w:lineRule="exact"/>
        <w:rPr>
          <w:rFonts w:hint="eastAsia"/>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pPr>
        <w:spacing w:line="400" w:lineRule="exact"/>
        <w:rPr>
          <w:rFonts w:hint="eastAsia"/>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highlight w:val="none"/>
        </w:rPr>
        <w:t>法定代表人（负责人）或</w:t>
      </w:r>
      <w:r>
        <w:rPr>
          <w:rFonts w:hint="eastAsia" w:cs="仿宋_GB2312"/>
          <w:color w:val="auto"/>
          <w:sz w:val="22"/>
          <w:szCs w:val="22"/>
          <w:highlight w:val="none"/>
          <w:lang w:val="zh-CN"/>
        </w:rPr>
        <w:t>授权代表（签字或签章）</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pPr>
        <w:spacing w:line="360" w:lineRule="exact"/>
        <w:rPr>
          <w:rFonts w:hint="eastAsia"/>
          <w:color w:val="auto"/>
          <w:sz w:val="22"/>
          <w:highlight w:val="none"/>
          <w:u w:val="single"/>
        </w:rPr>
      </w:pPr>
      <w:r>
        <w:rPr>
          <w:rFonts w:hint="eastAsia"/>
          <w:color w:val="auto"/>
          <w:sz w:val="22"/>
          <w:highlight w:val="none"/>
        </w:rPr>
        <w:t>电子邮件</w:t>
      </w:r>
      <w:r>
        <w:rPr>
          <w:rFonts w:hint="eastAsia"/>
          <w:color w:val="auto"/>
          <w:sz w:val="22"/>
          <w:highlight w:val="none"/>
          <w:u w:val="single"/>
        </w:rPr>
        <w:t xml:space="preserve">                                 </w:t>
      </w:r>
    </w:p>
    <w:p>
      <w:pPr>
        <w:pStyle w:val="10"/>
        <w:spacing w:line="400" w:lineRule="atLeast"/>
        <w:rPr>
          <w:rFonts w:hint="eastAsia" w:hAnsi="宋体"/>
          <w:b/>
          <w:color w:val="auto"/>
          <w:sz w:val="32"/>
          <w:szCs w:val="32"/>
          <w:highlight w:val="none"/>
        </w:rPr>
      </w:pPr>
    </w:p>
    <w:p>
      <w:pPr>
        <w:pStyle w:val="10"/>
        <w:spacing w:line="400" w:lineRule="atLeast"/>
        <w:rPr>
          <w:rFonts w:hint="eastAsia" w:hAnsi="宋体"/>
          <w:b/>
          <w:color w:val="auto"/>
          <w:sz w:val="32"/>
          <w:szCs w:val="32"/>
          <w:highlight w:val="none"/>
        </w:rPr>
      </w:pPr>
    </w:p>
    <w:p>
      <w:pPr>
        <w:pStyle w:val="10"/>
        <w:spacing w:line="400" w:lineRule="atLeast"/>
        <w:rPr>
          <w:rFonts w:hint="eastAsia" w:hAnsi="宋体"/>
          <w:b/>
          <w:color w:val="auto"/>
          <w:sz w:val="32"/>
          <w:szCs w:val="32"/>
          <w:highlight w:val="none"/>
        </w:rPr>
      </w:pPr>
    </w:p>
    <w:p>
      <w:pPr>
        <w:pStyle w:val="10"/>
        <w:spacing w:line="400" w:lineRule="atLeast"/>
        <w:rPr>
          <w:rFonts w:hint="eastAsia" w:hAnsi="宋体"/>
          <w:b/>
          <w:color w:val="auto"/>
          <w:sz w:val="32"/>
          <w:szCs w:val="32"/>
          <w:highlight w:val="none"/>
        </w:rPr>
      </w:pPr>
    </w:p>
    <w:p>
      <w:pPr>
        <w:pStyle w:val="10"/>
        <w:spacing w:line="400" w:lineRule="atLeast"/>
        <w:rPr>
          <w:rFonts w:hint="eastAsia" w:hAnsi="宋体"/>
          <w:b/>
          <w:color w:val="auto"/>
          <w:sz w:val="32"/>
          <w:szCs w:val="32"/>
          <w:highlight w:val="none"/>
        </w:rPr>
      </w:pPr>
    </w:p>
    <w:p>
      <w:pPr>
        <w:pStyle w:val="10"/>
        <w:adjustRightInd w:val="0"/>
        <w:snapToGrid w:val="0"/>
        <w:spacing w:line="320" w:lineRule="atLeast"/>
        <w:outlineLvl w:val="0"/>
        <w:rPr>
          <w:rFonts w:hint="eastAsia"/>
          <w:color w:val="auto"/>
          <w:sz w:val="32"/>
          <w:highlight w:val="none"/>
          <w:lang w:val="en-US" w:eastAsia="zh-CN"/>
        </w:rPr>
      </w:pPr>
      <w:r>
        <w:rPr>
          <w:rFonts w:hint="eastAsia"/>
          <w:color w:val="auto"/>
          <w:sz w:val="32"/>
          <w:highlight w:val="none"/>
        </w:rPr>
        <w:t>3.</w:t>
      </w:r>
      <w:r>
        <w:rPr>
          <w:rFonts w:hint="eastAsia"/>
          <w:color w:val="auto"/>
          <w:sz w:val="32"/>
          <w:highlight w:val="none"/>
          <w:lang w:val="en-US" w:eastAsia="zh-CN"/>
        </w:rPr>
        <w:t>7</w:t>
      </w:r>
      <w:r>
        <w:rPr>
          <w:rFonts w:hint="eastAsia"/>
          <w:color w:val="auto"/>
          <w:sz w:val="32"/>
          <w:highlight w:val="none"/>
          <w:lang w:val="zh-CN"/>
        </w:rPr>
        <w:t>针对本项目人员</w:t>
      </w:r>
      <w:r>
        <w:rPr>
          <w:rFonts w:hint="eastAsia"/>
          <w:color w:val="auto"/>
          <w:sz w:val="32"/>
          <w:highlight w:val="none"/>
          <w:lang w:val="en-US" w:eastAsia="zh-CN"/>
        </w:rPr>
        <w:t>配置情况</w:t>
      </w:r>
    </w:p>
    <w:p>
      <w:pPr>
        <w:pStyle w:val="11"/>
        <w:rPr>
          <w:rFonts w:hint="eastAsia"/>
          <w:color w:val="auto"/>
          <w:highlight w:val="none"/>
          <w:lang w:val="en-US" w:eastAsia="zh-CN"/>
        </w:rPr>
      </w:pPr>
    </w:p>
    <w:p>
      <w:pPr>
        <w:pStyle w:val="10"/>
        <w:adjustRightInd w:val="0"/>
        <w:snapToGrid w:val="0"/>
        <w:spacing w:line="320" w:lineRule="atLeast"/>
        <w:jc w:val="center"/>
        <w:outlineLvl w:val="0"/>
        <w:rPr>
          <w:rFonts w:hint="eastAsia" w:hAnsi="宋体"/>
          <w:b/>
          <w:color w:val="auto"/>
          <w:sz w:val="36"/>
          <w:highlight w:val="none"/>
          <w:lang w:val="zh-CN"/>
        </w:rPr>
      </w:pPr>
      <w:r>
        <w:rPr>
          <w:rFonts w:hint="eastAsia"/>
          <w:color w:val="auto"/>
          <w:sz w:val="32"/>
          <w:highlight w:val="none"/>
          <w:lang w:val="zh-CN"/>
        </w:rPr>
        <w:t>针对本项目人员</w:t>
      </w:r>
      <w:r>
        <w:rPr>
          <w:rFonts w:hint="eastAsia"/>
          <w:color w:val="auto"/>
          <w:sz w:val="32"/>
          <w:highlight w:val="none"/>
          <w:lang w:val="en-US" w:eastAsia="zh-CN"/>
        </w:rPr>
        <w:t>配置情况</w:t>
      </w:r>
    </w:p>
    <w:tbl>
      <w:tblPr>
        <w:tblStyle w:val="21"/>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jc w:val="center"/>
              <w:rPr>
                <w:rFonts w:cs="Arial"/>
                <w:b/>
                <w:bCs/>
                <w:color w:val="auto"/>
                <w:sz w:val="22"/>
                <w:highlight w:val="none"/>
              </w:rPr>
            </w:pPr>
            <w:r>
              <w:rPr>
                <w:rFonts w:cs="Arial"/>
                <w:b/>
                <w:bCs/>
                <w:color w:val="auto"/>
                <w:sz w:val="22"/>
                <w:highlight w:val="none"/>
              </w:rPr>
              <w:t>姓名</w:t>
            </w:r>
          </w:p>
        </w:tc>
        <w:tc>
          <w:tcPr>
            <w:tcW w:w="2520" w:type="dxa"/>
            <w:noWrap w:val="0"/>
            <w:vAlign w:val="center"/>
          </w:tcPr>
          <w:p>
            <w:pPr>
              <w:jc w:val="center"/>
              <w:rPr>
                <w:rFonts w:cs="Arial"/>
                <w:b/>
                <w:bCs/>
                <w:color w:val="auto"/>
                <w:sz w:val="22"/>
                <w:highlight w:val="none"/>
              </w:rPr>
            </w:pPr>
            <w:r>
              <w:rPr>
                <w:rFonts w:cs="Arial"/>
                <w:b/>
                <w:bCs/>
                <w:color w:val="auto"/>
                <w:sz w:val="22"/>
                <w:highlight w:val="none"/>
              </w:rPr>
              <w:t>本项目主要工作</w:t>
            </w:r>
          </w:p>
        </w:tc>
        <w:tc>
          <w:tcPr>
            <w:tcW w:w="720" w:type="dxa"/>
            <w:noWrap w:val="0"/>
            <w:vAlign w:val="center"/>
          </w:tcPr>
          <w:p>
            <w:pPr>
              <w:jc w:val="center"/>
              <w:rPr>
                <w:rFonts w:cs="Arial"/>
                <w:b/>
                <w:bCs/>
                <w:color w:val="auto"/>
                <w:sz w:val="22"/>
                <w:highlight w:val="none"/>
              </w:rPr>
            </w:pPr>
            <w:r>
              <w:rPr>
                <w:rFonts w:cs="Arial"/>
                <w:b/>
                <w:bCs/>
                <w:color w:val="auto"/>
                <w:sz w:val="22"/>
                <w:highlight w:val="none"/>
              </w:rPr>
              <w:t>年龄</w:t>
            </w:r>
          </w:p>
        </w:tc>
        <w:tc>
          <w:tcPr>
            <w:tcW w:w="720" w:type="dxa"/>
            <w:noWrap w:val="0"/>
            <w:vAlign w:val="center"/>
          </w:tcPr>
          <w:p>
            <w:pPr>
              <w:jc w:val="center"/>
              <w:rPr>
                <w:rFonts w:cs="Arial"/>
                <w:b/>
                <w:bCs/>
                <w:color w:val="auto"/>
                <w:sz w:val="22"/>
                <w:highlight w:val="none"/>
              </w:rPr>
            </w:pPr>
            <w:r>
              <w:rPr>
                <w:rFonts w:cs="Arial"/>
                <w:b/>
                <w:bCs/>
                <w:color w:val="auto"/>
                <w:sz w:val="22"/>
                <w:highlight w:val="none"/>
              </w:rPr>
              <w:t>性别</w:t>
            </w:r>
          </w:p>
        </w:tc>
        <w:tc>
          <w:tcPr>
            <w:tcW w:w="720" w:type="dxa"/>
            <w:noWrap w:val="0"/>
            <w:vAlign w:val="center"/>
          </w:tcPr>
          <w:p>
            <w:pPr>
              <w:jc w:val="center"/>
              <w:rPr>
                <w:rFonts w:cs="Arial"/>
                <w:b/>
                <w:bCs/>
                <w:color w:val="auto"/>
                <w:sz w:val="22"/>
                <w:highlight w:val="none"/>
              </w:rPr>
            </w:pPr>
            <w:r>
              <w:rPr>
                <w:rFonts w:cs="Arial"/>
                <w:b/>
                <w:bCs/>
                <w:color w:val="auto"/>
                <w:sz w:val="22"/>
                <w:highlight w:val="none"/>
              </w:rPr>
              <w:t>专业</w:t>
            </w:r>
          </w:p>
        </w:tc>
        <w:tc>
          <w:tcPr>
            <w:tcW w:w="1080" w:type="dxa"/>
            <w:noWrap w:val="0"/>
            <w:vAlign w:val="center"/>
          </w:tcPr>
          <w:p>
            <w:pPr>
              <w:jc w:val="center"/>
              <w:rPr>
                <w:rFonts w:cs="Arial"/>
                <w:b/>
                <w:bCs/>
                <w:color w:val="auto"/>
                <w:sz w:val="22"/>
                <w:highlight w:val="none"/>
              </w:rPr>
            </w:pPr>
            <w:r>
              <w:rPr>
                <w:rFonts w:cs="Arial"/>
                <w:b/>
                <w:bCs/>
                <w:color w:val="auto"/>
                <w:sz w:val="22"/>
                <w:highlight w:val="none"/>
              </w:rPr>
              <w:t>专业</w:t>
            </w:r>
          </w:p>
          <w:p>
            <w:pPr>
              <w:jc w:val="center"/>
              <w:rPr>
                <w:rFonts w:cs="Arial"/>
                <w:b/>
                <w:bCs/>
                <w:color w:val="auto"/>
                <w:sz w:val="22"/>
                <w:highlight w:val="none"/>
              </w:rPr>
            </w:pPr>
            <w:r>
              <w:rPr>
                <w:rFonts w:cs="Arial"/>
                <w:b/>
                <w:bCs/>
                <w:color w:val="auto"/>
                <w:sz w:val="22"/>
                <w:highlight w:val="none"/>
              </w:rPr>
              <w:t>年限</w:t>
            </w:r>
          </w:p>
        </w:tc>
        <w:tc>
          <w:tcPr>
            <w:tcW w:w="1080" w:type="dxa"/>
            <w:noWrap w:val="0"/>
            <w:vAlign w:val="center"/>
          </w:tcPr>
          <w:p>
            <w:pPr>
              <w:jc w:val="center"/>
              <w:rPr>
                <w:rFonts w:cs="Arial"/>
                <w:b/>
                <w:bCs/>
                <w:color w:val="auto"/>
                <w:sz w:val="22"/>
                <w:highlight w:val="none"/>
              </w:rPr>
            </w:pPr>
            <w:r>
              <w:rPr>
                <w:rFonts w:cs="Arial"/>
                <w:b/>
                <w:bCs/>
                <w:color w:val="auto"/>
                <w:sz w:val="22"/>
                <w:highlight w:val="none"/>
              </w:rPr>
              <w:t>职务</w:t>
            </w:r>
          </w:p>
          <w:p>
            <w:pPr>
              <w:jc w:val="center"/>
              <w:rPr>
                <w:rFonts w:cs="Arial"/>
                <w:b/>
                <w:bCs/>
                <w:color w:val="auto"/>
                <w:sz w:val="22"/>
                <w:highlight w:val="none"/>
              </w:rPr>
            </w:pPr>
            <w:r>
              <w:rPr>
                <w:rFonts w:cs="Arial"/>
                <w:b/>
                <w:bCs/>
                <w:color w:val="auto"/>
                <w:sz w:val="22"/>
                <w:highlight w:val="none"/>
              </w:rPr>
              <w:t>和职称</w:t>
            </w:r>
          </w:p>
        </w:tc>
        <w:tc>
          <w:tcPr>
            <w:tcW w:w="1651" w:type="dxa"/>
            <w:noWrap w:val="0"/>
            <w:vAlign w:val="center"/>
          </w:tcPr>
          <w:p>
            <w:pPr>
              <w:jc w:val="center"/>
              <w:rPr>
                <w:rFonts w:cs="Arial"/>
                <w:b/>
                <w:bCs/>
                <w:color w:val="auto"/>
                <w:sz w:val="22"/>
                <w:highlight w:val="none"/>
              </w:rPr>
            </w:pPr>
            <w:r>
              <w:rPr>
                <w:rFonts w:cs="Arial"/>
                <w:b/>
                <w:bCs/>
                <w:color w:val="auto"/>
                <w:sz w:val="22"/>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jc w:val="center"/>
              <w:rPr>
                <w:rFonts w:cs="Arial"/>
                <w:color w:val="auto"/>
                <w:sz w:val="22"/>
                <w:highlight w:val="none"/>
              </w:rPr>
            </w:pPr>
          </w:p>
        </w:tc>
        <w:tc>
          <w:tcPr>
            <w:tcW w:w="2520" w:type="dxa"/>
            <w:noWrap w:val="0"/>
            <w:vAlign w:val="center"/>
          </w:tcPr>
          <w:p>
            <w:pPr>
              <w:jc w:val="center"/>
              <w:rPr>
                <w:rFonts w:hint="eastAsia" w:cs="Arial"/>
                <w:color w:val="auto"/>
                <w:sz w:val="22"/>
                <w:highlight w:val="none"/>
              </w:rPr>
            </w:pPr>
          </w:p>
        </w:tc>
        <w:tc>
          <w:tcPr>
            <w:tcW w:w="720" w:type="dxa"/>
            <w:noWrap w:val="0"/>
            <w:vAlign w:val="center"/>
          </w:tcPr>
          <w:p>
            <w:pPr>
              <w:spacing w:line="360" w:lineRule="auto"/>
              <w:jc w:val="center"/>
              <w:rPr>
                <w:rFonts w:cs="Arial"/>
                <w:color w:val="auto"/>
                <w:sz w:val="22"/>
                <w:highlight w:val="none"/>
              </w:rPr>
            </w:pPr>
          </w:p>
        </w:tc>
        <w:tc>
          <w:tcPr>
            <w:tcW w:w="720" w:type="dxa"/>
            <w:noWrap w:val="0"/>
            <w:vAlign w:val="center"/>
          </w:tcPr>
          <w:p>
            <w:pPr>
              <w:spacing w:line="360" w:lineRule="auto"/>
              <w:jc w:val="center"/>
              <w:rPr>
                <w:rFonts w:cs="Arial"/>
                <w:color w:val="auto"/>
                <w:sz w:val="22"/>
                <w:highlight w:val="none"/>
              </w:rPr>
            </w:pPr>
          </w:p>
        </w:tc>
        <w:tc>
          <w:tcPr>
            <w:tcW w:w="720" w:type="dxa"/>
            <w:noWrap w:val="0"/>
            <w:vAlign w:val="center"/>
          </w:tcPr>
          <w:p>
            <w:pPr>
              <w:spacing w:line="360" w:lineRule="auto"/>
              <w:jc w:val="center"/>
              <w:rPr>
                <w:rFonts w:cs="Arial"/>
                <w:color w:val="auto"/>
                <w:sz w:val="22"/>
                <w:highlight w:val="none"/>
              </w:rPr>
            </w:pPr>
          </w:p>
        </w:tc>
        <w:tc>
          <w:tcPr>
            <w:tcW w:w="1080" w:type="dxa"/>
            <w:noWrap w:val="0"/>
            <w:vAlign w:val="center"/>
          </w:tcPr>
          <w:p>
            <w:pPr>
              <w:spacing w:line="360" w:lineRule="auto"/>
              <w:jc w:val="center"/>
              <w:rPr>
                <w:rFonts w:cs="Arial"/>
                <w:color w:val="auto"/>
                <w:sz w:val="22"/>
                <w:highlight w:val="none"/>
              </w:rPr>
            </w:pPr>
          </w:p>
        </w:tc>
        <w:tc>
          <w:tcPr>
            <w:tcW w:w="1080" w:type="dxa"/>
            <w:noWrap w:val="0"/>
            <w:vAlign w:val="center"/>
          </w:tcPr>
          <w:p>
            <w:pPr>
              <w:pStyle w:val="12"/>
              <w:spacing w:line="360" w:lineRule="auto"/>
              <w:ind w:left="6000"/>
              <w:jc w:val="center"/>
              <w:rPr>
                <w:rFonts w:cs="Arial"/>
                <w:color w:val="auto"/>
                <w:sz w:val="22"/>
                <w:highlight w:val="none"/>
              </w:rPr>
            </w:pPr>
          </w:p>
        </w:tc>
        <w:tc>
          <w:tcPr>
            <w:tcW w:w="1651" w:type="dxa"/>
            <w:noWrap w:val="0"/>
            <w:vAlign w:val="center"/>
          </w:tcPr>
          <w:p>
            <w:pPr>
              <w:spacing w:line="360" w:lineRule="auto"/>
              <w:jc w:val="center"/>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bl>
    <w:p>
      <w:pPr>
        <w:adjustRightInd w:val="0"/>
        <w:snapToGrid w:val="0"/>
        <w:spacing w:line="460" w:lineRule="atLeast"/>
        <w:rPr>
          <w:rFonts w:hint="eastAsia"/>
          <w:color w:val="auto"/>
          <w:sz w:val="22"/>
          <w:szCs w:val="22"/>
          <w:highlight w:val="none"/>
        </w:rPr>
      </w:pPr>
      <w:r>
        <w:rPr>
          <w:color w:val="auto"/>
          <w:sz w:val="22"/>
          <w:szCs w:val="22"/>
          <w:highlight w:val="none"/>
        </w:rPr>
        <w:t>注：</w:t>
      </w:r>
      <w:r>
        <w:rPr>
          <w:rFonts w:hint="eastAsia"/>
          <w:color w:val="auto"/>
          <w:sz w:val="22"/>
          <w:szCs w:val="22"/>
          <w:highlight w:val="none"/>
        </w:rPr>
        <w:t xml:space="preserve"> </w:t>
      </w:r>
      <w:r>
        <w:rPr>
          <w:color w:val="auto"/>
          <w:sz w:val="22"/>
          <w:szCs w:val="22"/>
          <w:highlight w:val="none"/>
        </w:rPr>
        <w:t>1、本表人员有</w:t>
      </w:r>
      <w:r>
        <w:rPr>
          <w:rFonts w:hint="eastAsia"/>
          <w:color w:val="auto"/>
          <w:sz w:val="22"/>
          <w:szCs w:val="22"/>
          <w:highlight w:val="none"/>
        </w:rPr>
        <w:t>相关</w:t>
      </w:r>
      <w:r>
        <w:rPr>
          <w:color w:val="auto"/>
          <w:sz w:val="22"/>
          <w:szCs w:val="22"/>
          <w:highlight w:val="none"/>
        </w:rPr>
        <w:t>资格</w:t>
      </w:r>
      <w:r>
        <w:rPr>
          <w:rFonts w:hint="eastAsia"/>
          <w:color w:val="auto"/>
          <w:sz w:val="22"/>
          <w:szCs w:val="22"/>
          <w:highlight w:val="none"/>
        </w:rPr>
        <w:t>（职称）</w:t>
      </w:r>
      <w:r>
        <w:rPr>
          <w:color w:val="auto"/>
          <w:sz w:val="22"/>
          <w:szCs w:val="22"/>
          <w:highlight w:val="none"/>
        </w:rPr>
        <w:t>证书的应随表提交</w:t>
      </w:r>
      <w:r>
        <w:rPr>
          <w:rFonts w:hint="eastAsia"/>
          <w:color w:val="auto"/>
          <w:sz w:val="22"/>
          <w:szCs w:val="22"/>
          <w:highlight w:val="none"/>
        </w:rPr>
        <w:t>相关</w:t>
      </w:r>
      <w:r>
        <w:rPr>
          <w:color w:val="auto"/>
          <w:sz w:val="22"/>
          <w:szCs w:val="22"/>
          <w:highlight w:val="none"/>
        </w:rPr>
        <w:t>资格</w:t>
      </w:r>
      <w:r>
        <w:rPr>
          <w:rFonts w:hint="eastAsia"/>
          <w:color w:val="auto"/>
          <w:sz w:val="22"/>
          <w:szCs w:val="22"/>
          <w:highlight w:val="none"/>
        </w:rPr>
        <w:t>（职称）</w:t>
      </w:r>
      <w:r>
        <w:rPr>
          <w:color w:val="auto"/>
          <w:sz w:val="22"/>
          <w:szCs w:val="22"/>
          <w:highlight w:val="none"/>
        </w:rPr>
        <w:t>证书复印件加盖公章。</w:t>
      </w:r>
    </w:p>
    <w:p>
      <w:pPr>
        <w:adjustRightInd w:val="0"/>
        <w:snapToGrid w:val="0"/>
        <w:spacing w:line="460" w:lineRule="atLeast"/>
        <w:ind w:firstLine="550" w:firstLineChars="250"/>
        <w:rPr>
          <w:color w:val="auto"/>
          <w:sz w:val="22"/>
          <w:szCs w:val="22"/>
          <w:highlight w:val="none"/>
        </w:rPr>
      </w:pPr>
      <w:r>
        <w:rPr>
          <w:rFonts w:hint="eastAsia"/>
          <w:color w:val="auto"/>
          <w:sz w:val="22"/>
          <w:szCs w:val="22"/>
          <w:highlight w:val="none"/>
        </w:rPr>
        <w:t>2</w:t>
      </w:r>
      <w:r>
        <w:rPr>
          <w:color w:val="auto"/>
          <w:sz w:val="22"/>
          <w:szCs w:val="22"/>
          <w:highlight w:val="none"/>
        </w:rPr>
        <w:t>、列入本表人员如要更换，需经</w:t>
      </w:r>
      <w:r>
        <w:rPr>
          <w:rFonts w:hint="eastAsia"/>
          <w:color w:val="auto"/>
          <w:sz w:val="22"/>
          <w:szCs w:val="22"/>
          <w:highlight w:val="none"/>
        </w:rPr>
        <w:t>采购</w:t>
      </w:r>
      <w:r>
        <w:rPr>
          <w:color w:val="auto"/>
          <w:sz w:val="22"/>
          <w:szCs w:val="22"/>
          <w:highlight w:val="none"/>
        </w:rPr>
        <w:t>人同意</w:t>
      </w:r>
      <w:r>
        <w:rPr>
          <w:rFonts w:hint="eastAsia"/>
          <w:color w:val="auto"/>
          <w:sz w:val="22"/>
          <w:szCs w:val="22"/>
          <w:highlight w:val="none"/>
        </w:rPr>
        <w:t>，</w:t>
      </w:r>
      <w:r>
        <w:rPr>
          <w:color w:val="auto"/>
          <w:sz w:val="22"/>
          <w:szCs w:val="22"/>
          <w:highlight w:val="none"/>
        </w:rPr>
        <w:t>擅自更换或不到位属违约行为。</w:t>
      </w:r>
    </w:p>
    <w:p>
      <w:pPr>
        <w:adjustRightInd w:val="0"/>
        <w:snapToGrid w:val="0"/>
        <w:spacing w:line="460" w:lineRule="atLeast"/>
        <w:ind w:firstLine="550" w:firstLineChars="250"/>
        <w:rPr>
          <w:color w:val="auto"/>
          <w:sz w:val="22"/>
          <w:szCs w:val="22"/>
          <w:highlight w:val="none"/>
        </w:rPr>
      </w:pPr>
      <w:r>
        <w:rPr>
          <w:rFonts w:hint="eastAsia"/>
          <w:color w:val="auto"/>
          <w:sz w:val="22"/>
          <w:szCs w:val="22"/>
          <w:highlight w:val="none"/>
        </w:rPr>
        <w:t>3、表格可以延续</w:t>
      </w:r>
      <w:r>
        <w:rPr>
          <w:color w:val="auto"/>
          <w:sz w:val="22"/>
          <w:szCs w:val="22"/>
          <w:highlight w:val="none"/>
        </w:rPr>
        <w:t>。</w:t>
      </w:r>
    </w:p>
    <w:p>
      <w:pPr>
        <w:spacing w:line="460" w:lineRule="atLeast"/>
        <w:ind w:firstLine="480"/>
        <w:rPr>
          <w:color w:val="auto"/>
          <w:spacing w:val="20"/>
          <w:sz w:val="22"/>
          <w:szCs w:val="22"/>
          <w:highlight w:val="none"/>
        </w:rPr>
      </w:pPr>
    </w:p>
    <w:p>
      <w:pPr>
        <w:autoSpaceDE w:val="0"/>
        <w:autoSpaceDN w:val="0"/>
        <w:adjustRightInd w:val="0"/>
        <w:spacing w:line="460" w:lineRule="atLeast"/>
        <w:rPr>
          <w:rFonts w:cs="Arial"/>
          <w:color w:val="auto"/>
          <w:sz w:val="22"/>
          <w:highlight w:val="none"/>
          <w:lang w:val="zh-CN"/>
        </w:rPr>
      </w:pPr>
      <w:r>
        <w:rPr>
          <w:rFonts w:hint="eastAsia" w:cs="Arial"/>
          <w:color w:val="auto"/>
          <w:sz w:val="22"/>
          <w:highlight w:val="none"/>
          <w:lang w:val="zh-CN"/>
        </w:rPr>
        <w:t>供应商</w:t>
      </w:r>
      <w:r>
        <w:rPr>
          <w:rFonts w:hint="eastAsia" w:cs="仿宋_GB2312"/>
          <w:color w:val="auto"/>
          <w:sz w:val="22"/>
          <w:szCs w:val="22"/>
          <w:highlight w:val="none"/>
          <w:lang w:val="zh-CN"/>
        </w:rPr>
        <w:t>全称（</w:t>
      </w:r>
      <w:r>
        <w:rPr>
          <w:rFonts w:hint="eastAsia" w:cs="Arial"/>
          <w:color w:val="auto"/>
          <w:sz w:val="22"/>
          <w:highlight w:val="none"/>
          <w:lang w:val="zh-CN"/>
        </w:rPr>
        <w:t>盖章</w:t>
      </w:r>
      <w:r>
        <w:rPr>
          <w:rFonts w:hint="eastAsia" w:cs="仿宋_GB2312"/>
          <w:color w:val="auto"/>
          <w:sz w:val="22"/>
          <w:szCs w:val="22"/>
          <w:highlight w:val="none"/>
          <w:lang w:val="zh-CN"/>
        </w:rPr>
        <w:t>）</w:t>
      </w:r>
      <w:r>
        <w:rPr>
          <w:rFonts w:hint="eastAsia" w:cs="Arial"/>
          <w:color w:val="auto"/>
          <w:sz w:val="22"/>
          <w:highlight w:val="none"/>
          <w:lang w:val="zh-CN"/>
        </w:rPr>
        <w:t>：</w:t>
      </w:r>
    </w:p>
    <w:p>
      <w:pPr>
        <w:autoSpaceDE w:val="0"/>
        <w:autoSpaceDN w:val="0"/>
        <w:adjustRightInd w:val="0"/>
        <w:spacing w:line="460" w:lineRule="atLeast"/>
        <w:rPr>
          <w:rFonts w:cs="Arial"/>
          <w:color w:val="auto"/>
          <w:sz w:val="22"/>
          <w:highlight w:val="none"/>
          <w:lang w:val="zh-CN"/>
        </w:rPr>
      </w:pPr>
      <w:r>
        <w:rPr>
          <w:rFonts w:hint="eastAsia"/>
          <w:color w:val="auto"/>
          <w:sz w:val="22"/>
          <w:highlight w:val="none"/>
          <w:lang w:val="zh-CN"/>
        </w:rPr>
        <w:t>法定代表人或授权代表（签字或盖章）</w:t>
      </w:r>
      <w:r>
        <w:rPr>
          <w:rFonts w:hint="eastAsia" w:cs="Arial"/>
          <w:color w:val="auto"/>
          <w:sz w:val="22"/>
          <w:highlight w:val="none"/>
          <w:lang w:val="zh-CN"/>
        </w:rPr>
        <w:t>：</w:t>
      </w:r>
      <w:r>
        <w:rPr>
          <w:rFonts w:cs="Arial"/>
          <w:color w:val="auto"/>
          <w:sz w:val="22"/>
          <w:highlight w:val="none"/>
          <w:lang w:val="zh-CN"/>
        </w:rPr>
        <w:t xml:space="preserve">            </w:t>
      </w:r>
    </w:p>
    <w:p>
      <w:pPr>
        <w:autoSpaceDE w:val="0"/>
        <w:autoSpaceDN w:val="0"/>
        <w:adjustRightInd w:val="0"/>
        <w:spacing w:line="460" w:lineRule="atLeast"/>
        <w:rPr>
          <w:rFonts w:hint="eastAsia" w:cs="Arial"/>
          <w:color w:val="auto"/>
          <w:sz w:val="22"/>
          <w:highlight w:val="none"/>
          <w:lang w:val="zh-CN"/>
        </w:rPr>
      </w:pPr>
      <w:r>
        <w:rPr>
          <w:rFonts w:hint="eastAsia" w:cs="Arial"/>
          <w:color w:val="auto"/>
          <w:sz w:val="22"/>
          <w:highlight w:val="none"/>
          <w:lang w:val="zh-CN"/>
        </w:rPr>
        <w:t>日期：</w:t>
      </w:r>
    </w:p>
    <w:p>
      <w:pPr>
        <w:autoSpaceDE w:val="0"/>
        <w:autoSpaceDN w:val="0"/>
        <w:adjustRightInd w:val="0"/>
        <w:outlineLvl w:val="0"/>
        <w:rPr>
          <w:rFonts w:hint="eastAsia"/>
          <w:b/>
          <w:color w:val="auto"/>
          <w:sz w:val="32"/>
          <w:highlight w:val="none"/>
        </w:rPr>
      </w:pPr>
    </w:p>
    <w:p>
      <w:pPr>
        <w:autoSpaceDE w:val="0"/>
        <w:autoSpaceDN w:val="0"/>
        <w:adjustRightInd w:val="0"/>
        <w:outlineLvl w:val="0"/>
        <w:rPr>
          <w:rFonts w:hint="eastAsia"/>
          <w:b/>
          <w:color w:val="auto"/>
          <w:sz w:val="32"/>
          <w:highlight w:val="none"/>
        </w:rPr>
      </w:pPr>
    </w:p>
    <w:p>
      <w:pPr>
        <w:autoSpaceDE w:val="0"/>
        <w:autoSpaceDN w:val="0"/>
        <w:adjustRightInd w:val="0"/>
        <w:outlineLvl w:val="0"/>
        <w:rPr>
          <w:rFonts w:hint="eastAsia"/>
          <w:b/>
          <w:color w:val="auto"/>
          <w:sz w:val="32"/>
          <w:highlight w:val="none"/>
        </w:rPr>
      </w:pPr>
    </w:p>
    <w:p>
      <w:pPr>
        <w:autoSpaceDE w:val="0"/>
        <w:autoSpaceDN w:val="0"/>
        <w:adjustRightInd w:val="0"/>
        <w:outlineLvl w:val="0"/>
        <w:rPr>
          <w:rFonts w:hint="eastAsia"/>
          <w:b/>
          <w:color w:val="auto"/>
          <w:sz w:val="32"/>
          <w:highlight w:val="none"/>
        </w:rPr>
      </w:pPr>
    </w:p>
    <w:p>
      <w:pPr>
        <w:pStyle w:val="10"/>
        <w:adjustRightInd w:val="0"/>
        <w:snapToGrid w:val="0"/>
        <w:spacing w:line="320" w:lineRule="atLeast"/>
        <w:outlineLvl w:val="0"/>
        <w:rPr>
          <w:rFonts w:hint="eastAsia"/>
          <w:color w:val="auto"/>
          <w:sz w:val="32"/>
          <w:highlight w:val="none"/>
        </w:rPr>
      </w:pPr>
      <w:r>
        <w:rPr>
          <w:rFonts w:hint="eastAsia"/>
          <w:color w:val="auto"/>
          <w:sz w:val="32"/>
          <w:highlight w:val="none"/>
          <w:lang w:val="zh-CN"/>
        </w:rPr>
        <w:t>3.8</w:t>
      </w:r>
      <w:r>
        <w:rPr>
          <w:rFonts w:hint="eastAsia"/>
          <w:color w:val="auto"/>
          <w:sz w:val="32"/>
          <w:highlight w:val="none"/>
        </w:rPr>
        <w:t>投标产品的主要技术参数表</w:t>
      </w:r>
    </w:p>
    <w:p>
      <w:pPr>
        <w:pStyle w:val="10"/>
        <w:adjustRightInd w:val="0"/>
        <w:snapToGrid w:val="0"/>
        <w:spacing w:line="320" w:lineRule="atLeast"/>
        <w:outlineLvl w:val="0"/>
        <w:rPr>
          <w:rFonts w:hint="eastAsia"/>
          <w:color w:val="auto"/>
          <w:sz w:val="32"/>
          <w:highlight w:val="none"/>
        </w:rPr>
      </w:pPr>
    </w:p>
    <w:p>
      <w:pPr>
        <w:pStyle w:val="10"/>
        <w:adjustRightInd w:val="0"/>
        <w:snapToGrid w:val="0"/>
        <w:spacing w:line="320" w:lineRule="atLeast"/>
        <w:jc w:val="center"/>
        <w:outlineLvl w:val="0"/>
        <w:rPr>
          <w:rFonts w:hint="eastAsia" w:hAnsi="宋体"/>
          <w:b/>
          <w:color w:val="auto"/>
          <w:sz w:val="36"/>
          <w:highlight w:val="none"/>
        </w:rPr>
      </w:pPr>
      <w:r>
        <w:rPr>
          <w:rFonts w:hint="eastAsia" w:hAnsi="宋体"/>
          <w:b/>
          <w:color w:val="auto"/>
          <w:sz w:val="36"/>
          <w:highlight w:val="none"/>
        </w:rPr>
        <w:t>投标产品的主要技术参数表（不带价格放技术资信标中）</w:t>
      </w:r>
    </w:p>
    <w:p>
      <w:pPr>
        <w:spacing w:line="460" w:lineRule="exact"/>
        <w:rPr>
          <w:rFonts w:hint="eastAsia"/>
          <w:b/>
          <w:color w:val="auto"/>
          <w:sz w:val="22"/>
          <w:szCs w:val="22"/>
          <w:highlight w:val="none"/>
        </w:rPr>
      </w:pPr>
      <w:r>
        <w:rPr>
          <w:rFonts w:hint="eastAsia"/>
          <w:b/>
          <w:color w:val="auto"/>
          <w:sz w:val="22"/>
          <w:szCs w:val="22"/>
          <w:highlight w:val="none"/>
        </w:rPr>
        <w:t>项目名称：                                          项目编号：</w:t>
      </w:r>
    </w:p>
    <w:tbl>
      <w:tblPr>
        <w:tblStyle w:val="21"/>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2014"/>
        <w:gridCol w:w="2123"/>
        <w:gridCol w:w="1859"/>
        <w:gridCol w:w="224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序号</w:t>
            </w: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品名</w:t>
            </w: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品牌产地</w:t>
            </w: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主要规格</w:t>
            </w: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bl>
    <w:p>
      <w:pPr>
        <w:autoSpaceDE w:val="0"/>
        <w:autoSpaceDN w:val="0"/>
        <w:adjustRightInd w:val="0"/>
        <w:spacing w:line="440" w:lineRule="atLeast"/>
        <w:ind w:firstLine="627" w:firstLineChars="285"/>
        <w:rPr>
          <w:rFonts w:hint="eastAsia" w:cs="仿宋_GB2312"/>
          <w:color w:val="auto"/>
          <w:sz w:val="22"/>
          <w:szCs w:val="22"/>
          <w:highlight w:val="none"/>
          <w:lang w:val="zh-CN"/>
        </w:rPr>
      </w:pPr>
    </w:p>
    <w:p>
      <w:pPr>
        <w:autoSpaceDE w:val="0"/>
        <w:autoSpaceDN w:val="0"/>
        <w:adjustRightInd w:val="0"/>
        <w:spacing w:line="440" w:lineRule="atLeast"/>
        <w:ind w:firstLine="627" w:firstLineChars="285"/>
        <w:rPr>
          <w:rFonts w:hint="eastAsia" w:cs="仿宋_GB2312"/>
          <w:color w:val="auto"/>
          <w:sz w:val="22"/>
          <w:szCs w:val="22"/>
          <w:highlight w:val="none"/>
          <w:lang w:val="zh-CN"/>
        </w:rPr>
      </w:pPr>
    </w:p>
    <w:p>
      <w:pPr>
        <w:autoSpaceDE w:val="0"/>
        <w:autoSpaceDN w:val="0"/>
        <w:adjustRightInd w:val="0"/>
        <w:spacing w:line="440" w:lineRule="atLeast"/>
        <w:ind w:firstLine="627" w:firstLineChars="285"/>
        <w:rPr>
          <w:rFonts w:hint="eastAsia" w:cs="仿宋_GB2312"/>
          <w:color w:val="auto"/>
          <w:sz w:val="22"/>
          <w:szCs w:val="22"/>
          <w:highlight w:val="none"/>
          <w:lang w:val="zh-CN"/>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0"/>
        <w:adjustRightInd w:val="0"/>
        <w:snapToGrid w:val="0"/>
        <w:spacing w:line="320" w:lineRule="atLeast"/>
        <w:outlineLvl w:val="0"/>
        <w:rPr>
          <w:rFonts w:hint="eastAsia"/>
          <w:color w:val="auto"/>
          <w:sz w:val="32"/>
          <w:highlight w:val="none"/>
        </w:rPr>
      </w:pPr>
    </w:p>
    <w:p>
      <w:pPr>
        <w:pStyle w:val="10"/>
        <w:adjustRightInd w:val="0"/>
        <w:snapToGrid w:val="0"/>
        <w:spacing w:line="320" w:lineRule="atLeast"/>
        <w:outlineLvl w:val="0"/>
        <w:rPr>
          <w:rFonts w:hint="eastAsia"/>
          <w:color w:val="auto"/>
          <w:sz w:val="32"/>
          <w:highlight w:val="none"/>
        </w:rPr>
      </w:pPr>
    </w:p>
    <w:p>
      <w:pPr>
        <w:pStyle w:val="10"/>
        <w:adjustRightInd w:val="0"/>
        <w:snapToGrid w:val="0"/>
        <w:spacing w:line="320" w:lineRule="atLeast"/>
        <w:outlineLvl w:val="0"/>
        <w:rPr>
          <w:rFonts w:hint="eastAsia"/>
          <w:color w:val="auto"/>
          <w:sz w:val="32"/>
          <w:highlight w:val="none"/>
        </w:rPr>
      </w:pPr>
    </w:p>
    <w:p>
      <w:pPr>
        <w:pStyle w:val="10"/>
        <w:adjustRightInd w:val="0"/>
        <w:snapToGrid w:val="0"/>
        <w:spacing w:line="320" w:lineRule="atLeast"/>
        <w:outlineLvl w:val="0"/>
        <w:rPr>
          <w:rFonts w:hint="eastAsia"/>
          <w:color w:val="auto"/>
          <w:sz w:val="32"/>
          <w:highlight w:val="none"/>
        </w:rPr>
      </w:pPr>
    </w:p>
    <w:p>
      <w:pPr>
        <w:pStyle w:val="10"/>
        <w:adjustRightInd w:val="0"/>
        <w:snapToGrid w:val="0"/>
        <w:spacing w:line="320" w:lineRule="atLeast"/>
        <w:outlineLvl w:val="0"/>
        <w:rPr>
          <w:rFonts w:hint="eastAsia"/>
          <w:color w:val="auto"/>
          <w:sz w:val="32"/>
          <w:highlight w:val="none"/>
        </w:rPr>
      </w:pPr>
    </w:p>
    <w:p>
      <w:pPr>
        <w:pStyle w:val="10"/>
        <w:adjustRightInd w:val="0"/>
        <w:snapToGrid w:val="0"/>
        <w:spacing w:line="320" w:lineRule="atLeast"/>
        <w:outlineLvl w:val="0"/>
        <w:rPr>
          <w:rFonts w:hint="eastAsia"/>
          <w:color w:val="auto"/>
          <w:sz w:val="32"/>
          <w:highlight w:val="none"/>
        </w:rPr>
      </w:pPr>
    </w:p>
    <w:p>
      <w:pPr>
        <w:pStyle w:val="10"/>
        <w:adjustRightInd w:val="0"/>
        <w:snapToGrid w:val="0"/>
        <w:spacing w:line="320" w:lineRule="atLeast"/>
        <w:outlineLvl w:val="0"/>
        <w:rPr>
          <w:rFonts w:hint="eastAsia"/>
          <w:color w:val="auto"/>
          <w:sz w:val="32"/>
          <w:highlight w:val="none"/>
        </w:rPr>
      </w:pPr>
    </w:p>
    <w:p>
      <w:pPr>
        <w:pStyle w:val="10"/>
        <w:adjustRightInd w:val="0"/>
        <w:snapToGrid w:val="0"/>
        <w:spacing w:line="320" w:lineRule="atLeast"/>
        <w:outlineLvl w:val="0"/>
        <w:rPr>
          <w:rFonts w:hint="eastAsia"/>
          <w:color w:val="auto"/>
          <w:sz w:val="32"/>
          <w:highlight w:val="none"/>
        </w:rPr>
      </w:pPr>
    </w:p>
    <w:p>
      <w:pPr>
        <w:autoSpaceDE w:val="0"/>
        <w:autoSpaceDN w:val="0"/>
        <w:adjustRightInd w:val="0"/>
        <w:outlineLvl w:val="0"/>
        <w:rPr>
          <w:b/>
          <w:color w:val="auto"/>
          <w:sz w:val="32"/>
          <w:highlight w:val="none"/>
          <w:lang w:val="zh-CN"/>
        </w:rPr>
      </w:pPr>
      <w:r>
        <w:rPr>
          <w:rFonts w:hint="eastAsia"/>
          <w:b/>
          <w:color w:val="auto"/>
          <w:sz w:val="32"/>
          <w:highlight w:val="none"/>
        </w:rPr>
        <w:t>3.1</w:t>
      </w:r>
      <w:r>
        <w:rPr>
          <w:rFonts w:hint="eastAsia"/>
          <w:b/>
          <w:color w:val="auto"/>
          <w:sz w:val="32"/>
          <w:highlight w:val="none"/>
          <w:lang w:val="en-US" w:eastAsia="zh-CN"/>
        </w:rPr>
        <w:t>0</w:t>
      </w:r>
      <w:r>
        <w:rPr>
          <w:rFonts w:hint="eastAsia"/>
          <w:b/>
          <w:color w:val="auto"/>
          <w:sz w:val="32"/>
          <w:highlight w:val="none"/>
          <w:lang w:val="zh-CN"/>
        </w:rPr>
        <w:t>商务偏离表、技术偏离表</w:t>
      </w:r>
    </w:p>
    <w:p>
      <w:pPr>
        <w:autoSpaceDE w:val="0"/>
        <w:autoSpaceDN w:val="0"/>
        <w:adjustRightInd w:val="0"/>
        <w:spacing w:line="440" w:lineRule="atLeast"/>
        <w:ind w:firstLine="3413"/>
        <w:outlineLvl w:val="0"/>
        <w:rPr>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lang w:val="zh-CN"/>
        </w:rPr>
        <w:t>偏</w:t>
      </w:r>
      <w:r>
        <w:rPr>
          <w:b/>
          <w:color w:val="auto"/>
          <w:sz w:val="36"/>
          <w:highlight w:val="none"/>
          <w:lang w:val="zh-CN"/>
        </w:rPr>
        <w:t xml:space="preserve"> </w:t>
      </w:r>
      <w:r>
        <w:rPr>
          <w:rFonts w:hint="eastAsia"/>
          <w:b/>
          <w:color w:val="auto"/>
          <w:sz w:val="36"/>
          <w:highlight w:val="none"/>
          <w:lang w:val="zh-CN"/>
        </w:rPr>
        <w:t>离</w:t>
      </w:r>
      <w:r>
        <w:rPr>
          <w:b/>
          <w:color w:val="auto"/>
          <w:sz w:val="36"/>
          <w:highlight w:val="none"/>
          <w:lang w:val="zh-CN"/>
        </w:rPr>
        <w:t xml:space="preserve"> </w:t>
      </w:r>
      <w:r>
        <w:rPr>
          <w:rFonts w:hint="eastAsia"/>
          <w:b/>
          <w:color w:val="auto"/>
          <w:sz w:val="36"/>
          <w:highlight w:val="none"/>
          <w:lang w:val="zh-CN"/>
        </w:rPr>
        <w:t>表</w:t>
      </w:r>
    </w:p>
    <w:p>
      <w:pPr>
        <w:autoSpaceDE w:val="0"/>
        <w:autoSpaceDN w:val="0"/>
        <w:adjustRightInd w:val="0"/>
        <w:spacing w:line="440" w:lineRule="atLeast"/>
        <w:ind w:firstLine="3413"/>
        <w:rPr>
          <w:b/>
          <w:color w:val="auto"/>
          <w:sz w:val="36"/>
          <w:highlight w:val="none"/>
          <w:lang w:val="zh-CN"/>
        </w:rPr>
      </w:pPr>
    </w:p>
    <w:tbl>
      <w:tblPr>
        <w:tblStyle w:val="21"/>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bl>
    <w:p>
      <w:pPr>
        <w:autoSpaceDE w:val="0"/>
        <w:autoSpaceDN w:val="0"/>
        <w:adjustRightInd w:val="0"/>
        <w:spacing w:line="440" w:lineRule="atLeast"/>
        <w:rPr>
          <w:rFonts w:hint="eastAsia"/>
          <w:b/>
          <w:color w:val="auto"/>
          <w:highlight w:val="none"/>
          <w:lang w:val="zh-CN"/>
        </w:rPr>
      </w:pPr>
      <w:r>
        <w:rPr>
          <w:rFonts w:hint="eastAsia"/>
          <w:b/>
          <w:color w:val="auto"/>
          <w:highlight w:val="none"/>
          <w:lang w:val="zh-CN"/>
        </w:rPr>
        <w:t>供应商盖章：</w:t>
      </w:r>
    </w:p>
    <w:p>
      <w:pPr>
        <w:autoSpaceDE w:val="0"/>
        <w:autoSpaceDN w:val="0"/>
        <w:adjustRightInd w:val="0"/>
        <w:spacing w:line="440" w:lineRule="atLeast"/>
        <w:rPr>
          <w:rFonts w:hint="eastAsia"/>
          <w:b/>
          <w:color w:val="auto"/>
          <w:sz w:val="32"/>
          <w:highlight w:val="none"/>
          <w:lang w:val="zh-CN"/>
        </w:rPr>
      </w:pPr>
    </w:p>
    <w:p>
      <w:pPr>
        <w:autoSpaceDE w:val="0"/>
        <w:autoSpaceDN w:val="0"/>
        <w:adjustRightInd w:val="0"/>
        <w:spacing w:line="440" w:lineRule="atLeast"/>
        <w:outlineLvl w:val="0"/>
        <w:rPr>
          <w:b/>
          <w:color w:val="auto"/>
          <w:sz w:val="32"/>
          <w:highlight w:val="none"/>
          <w:lang w:val="zh-CN"/>
        </w:rPr>
      </w:pPr>
    </w:p>
    <w:p>
      <w:pPr>
        <w:autoSpaceDE w:val="0"/>
        <w:autoSpaceDN w:val="0"/>
        <w:adjustRightInd w:val="0"/>
        <w:spacing w:line="440" w:lineRule="atLeast"/>
        <w:ind w:firstLine="3614" w:firstLineChars="1000"/>
        <w:outlineLvl w:val="0"/>
        <w:rPr>
          <w:b/>
          <w:color w:val="auto"/>
          <w:sz w:val="36"/>
          <w:highlight w:val="none"/>
          <w:lang w:val="zh-CN"/>
        </w:rPr>
      </w:pPr>
      <w:r>
        <w:rPr>
          <w:rFonts w:hint="eastAsia"/>
          <w:b/>
          <w:color w:val="auto"/>
          <w:sz w:val="36"/>
          <w:highlight w:val="none"/>
          <w:lang w:val="zh-CN"/>
        </w:rPr>
        <w:t>技术偏离表</w:t>
      </w:r>
    </w:p>
    <w:tbl>
      <w:tblPr>
        <w:tblStyle w:val="21"/>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bl>
    <w:p>
      <w:pPr>
        <w:autoSpaceDE w:val="0"/>
        <w:autoSpaceDN w:val="0"/>
        <w:adjustRightInd w:val="0"/>
        <w:spacing w:line="440" w:lineRule="atLeast"/>
        <w:rPr>
          <w:b/>
          <w:color w:val="auto"/>
          <w:highlight w:val="none"/>
          <w:lang w:val="zh-CN"/>
        </w:rPr>
      </w:pPr>
      <w:r>
        <w:rPr>
          <w:rFonts w:hint="eastAsia"/>
          <w:b/>
          <w:color w:val="auto"/>
          <w:highlight w:val="none"/>
          <w:lang w:val="zh-CN"/>
        </w:rPr>
        <w:t>供应商盖章：</w:t>
      </w:r>
      <w:r>
        <w:rPr>
          <w:b/>
          <w:color w:val="auto"/>
          <w:highlight w:val="none"/>
          <w:u w:val="single"/>
          <w:lang w:val="zh-CN"/>
        </w:rPr>
        <w:t xml:space="preserve">               </w:t>
      </w:r>
    </w:p>
    <w:p>
      <w:pPr>
        <w:autoSpaceDE w:val="0"/>
        <w:autoSpaceDN w:val="0"/>
        <w:adjustRightInd w:val="0"/>
        <w:rPr>
          <w:b/>
          <w:color w:val="auto"/>
          <w:sz w:val="32"/>
          <w:highlight w:val="none"/>
        </w:rPr>
        <w:sectPr>
          <w:headerReference r:id="rId7" w:type="default"/>
          <w:footerReference r:id="rId8" w:type="default"/>
          <w:pgSz w:w="11906" w:h="16838"/>
          <w:pgMar w:top="1440" w:right="1361" w:bottom="1440" w:left="1361" w:header="851" w:footer="992" w:gutter="0"/>
          <w:cols w:space="720" w:num="1"/>
          <w:docGrid w:linePitch="312" w:charSpace="0"/>
        </w:sectPr>
      </w:pPr>
    </w:p>
    <w:p>
      <w:pPr>
        <w:autoSpaceDE w:val="0"/>
        <w:autoSpaceDN w:val="0"/>
        <w:adjustRightInd w:val="0"/>
        <w:outlineLvl w:val="0"/>
        <w:rPr>
          <w:rFonts w:hint="eastAsia"/>
          <w:b/>
          <w:color w:val="auto"/>
          <w:sz w:val="32"/>
          <w:highlight w:val="none"/>
          <w:lang w:val="zh-CN"/>
        </w:rPr>
      </w:pPr>
      <w:r>
        <w:rPr>
          <w:rFonts w:hint="eastAsia"/>
          <w:b/>
          <w:color w:val="auto"/>
          <w:sz w:val="32"/>
          <w:highlight w:val="none"/>
          <w:lang w:val="zh-CN"/>
        </w:rPr>
        <w:t>3.</w:t>
      </w:r>
      <w:r>
        <w:rPr>
          <w:rFonts w:hint="eastAsia"/>
          <w:b/>
          <w:color w:val="auto"/>
          <w:sz w:val="32"/>
          <w:highlight w:val="none"/>
        </w:rPr>
        <w:t>1</w:t>
      </w:r>
      <w:r>
        <w:rPr>
          <w:rFonts w:hint="eastAsia"/>
          <w:b/>
          <w:color w:val="auto"/>
          <w:sz w:val="32"/>
          <w:highlight w:val="none"/>
          <w:lang w:val="en-US" w:eastAsia="zh-CN"/>
        </w:rPr>
        <w:t>2</w:t>
      </w:r>
      <w:r>
        <w:rPr>
          <w:rFonts w:hint="eastAsia"/>
          <w:b/>
          <w:color w:val="auto"/>
          <w:sz w:val="32"/>
          <w:highlight w:val="none"/>
        </w:rPr>
        <w:t xml:space="preserve">  </w:t>
      </w:r>
      <w:r>
        <w:rPr>
          <w:rFonts w:hint="eastAsia"/>
          <w:b/>
          <w:color w:val="auto"/>
          <w:sz w:val="32"/>
          <w:highlight w:val="none"/>
          <w:lang w:val="zh-CN"/>
        </w:rPr>
        <w:t>2017年1月1日以来的类似项目业绩证明</w:t>
      </w:r>
    </w:p>
    <w:p>
      <w:pPr>
        <w:pStyle w:val="10"/>
        <w:adjustRightInd w:val="0"/>
        <w:snapToGrid w:val="0"/>
        <w:spacing w:line="400" w:lineRule="exact"/>
        <w:ind w:firstLine="1440" w:firstLineChars="400"/>
        <w:jc w:val="center"/>
        <w:rPr>
          <w:rFonts w:hint="eastAsia" w:hAnsi="宋体"/>
          <w:color w:val="auto"/>
          <w:sz w:val="36"/>
          <w:szCs w:val="36"/>
          <w:highlight w:val="none"/>
        </w:rPr>
      </w:pPr>
      <w:r>
        <w:rPr>
          <w:rFonts w:hint="eastAsia" w:hAnsi="宋体"/>
          <w:color w:val="auto"/>
          <w:sz w:val="36"/>
          <w:szCs w:val="36"/>
          <w:highlight w:val="none"/>
        </w:rPr>
        <w:t>2017年1月1日以来的类似项目业绩证明</w:t>
      </w:r>
    </w:p>
    <w:p>
      <w:pPr>
        <w:pStyle w:val="10"/>
        <w:adjustRightInd w:val="0"/>
        <w:snapToGrid w:val="0"/>
        <w:spacing w:line="400" w:lineRule="exact"/>
        <w:ind w:firstLine="1440" w:firstLineChars="400"/>
        <w:jc w:val="center"/>
        <w:rPr>
          <w:rFonts w:hint="eastAsia" w:hAnsi="宋体"/>
          <w:color w:val="auto"/>
          <w:sz w:val="36"/>
          <w:szCs w:val="36"/>
          <w:highlight w:val="none"/>
        </w:rPr>
      </w:pPr>
      <w:r>
        <w:rPr>
          <w:rFonts w:hint="eastAsia" w:hAnsi="宋体"/>
          <w:color w:val="auto"/>
          <w:sz w:val="36"/>
          <w:szCs w:val="36"/>
          <w:highlight w:val="none"/>
        </w:rPr>
        <w:t>（按评标细则要求提供）（复印件加盖公章）</w:t>
      </w:r>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序号</w:t>
            </w:r>
          </w:p>
        </w:tc>
        <w:tc>
          <w:tcPr>
            <w:tcW w:w="1041"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项目名称</w:t>
            </w:r>
          </w:p>
        </w:tc>
        <w:tc>
          <w:tcPr>
            <w:tcW w:w="1199"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项目地址</w:t>
            </w:r>
          </w:p>
        </w:tc>
        <w:tc>
          <w:tcPr>
            <w:tcW w:w="970"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合同内容</w:t>
            </w:r>
          </w:p>
        </w:tc>
        <w:tc>
          <w:tcPr>
            <w:tcW w:w="966"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合同总价</w:t>
            </w:r>
          </w:p>
        </w:tc>
        <w:tc>
          <w:tcPr>
            <w:tcW w:w="1034"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签约日期</w:t>
            </w:r>
          </w:p>
        </w:tc>
        <w:tc>
          <w:tcPr>
            <w:tcW w:w="1695" w:type="dxa"/>
            <w:tcBorders>
              <w:right w:val="single" w:color="auto" w:sz="4" w:space="0"/>
            </w:tcBorders>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发包方联系人</w:t>
            </w: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联系电话</w:t>
            </w:r>
          </w:p>
        </w:tc>
        <w:tc>
          <w:tcPr>
            <w:tcW w:w="1407" w:type="dxa"/>
            <w:tcBorders>
              <w:left w:val="single" w:color="auto" w:sz="4" w:space="0"/>
            </w:tcBorders>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bl>
    <w:p>
      <w:pPr>
        <w:rPr>
          <w:rFonts w:hint="eastAsia"/>
          <w:b/>
          <w:color w:val="auto"/>
          <w:sz w:val="22"/>
          <w:szCs w:val="22"/>
          <w:highlight w:val="none"/>
        </w:rPr>
      </w:pPr>
      <w:r>
        <w:rPr>
          <w:rFonts w:hint="eastAsia"/>
          <w:b/>
          <w:color w:val="auto"/>
          <w:sz w:val="22"/>
          <w:szCs w:val="22"/>
          <w:highlight w:val="none"/>
        </w:rPr>
        <w:t>注：1、按评标细则要求提供，须附在商务技术投标文件中</w:t>
      </w:r>
      <w:r>
        <w:rPr>
          <w:rFonts w:hint="eastAsia"/>
          <w:color w:val="auto"/>
          <w:sz w:val="22"/>
          <w:szCs w:val="22"/>
          <w:highlight w:val="none"/>
        </w:rPr>
        <w:t>。</w:t>
      </w:r>
    </w:p>
    <w:p>
      <w:pPr>
        <w:pStyle w:val="10"/>
        <w:spacing w:line="400" w:lineRule="atLeast"/>
        <w:rPr>
          <w:rFonts w:hint="eastAsia" w:hAnsi="宋体"/>
          <w:b/>
          <w:color w:val="auto"/>
          <w:sz w:val="22"/>
          <w:szCs w:val="22"/>
          <w:highlight w:val="none"/>
        </w:rPr>
      </w:pPr>
    </w:p>
    <w:p>
      <w:pPr>
        <w:pStyle w:val="10"/>
        <w:spacing w:line="400" w:lineRule="atLeast"/>
        <w:rPr>
          <w:rFonts w:hint="eastAsia" w:hAnsi="宋体"/>
          <w:b/>
          <w:color w:val="auto"/>
          <w:sz w:val="22"/>
          <w:szCs w:val="22"/>
          <w:highlight w:val="none"/>
        </w:rPr>
      </w:pPr>
    </w:p>
    <w:p>
      <w:pPr>
        <w:pStyle w:val="10"/>
        <w:spacing w:line="400" w:lineRule="atLeast"/>
        <w:rPr>
          <w:rFonts w:hint="eastAsia" w:hAnsi="宋体"/>
          <w:b/>
          <w:color w:val="auto"/>
          <w:sz w:val="22"/>
          <w:szCs w:val="22"/>
          <w:highlight w:val="none"/>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pStyle w:val="10"/>
        <w:spacing w:line="400" w:lineRule="exact"/>
        <w:rPr>
          <w:rFonts w:hint="eastAsia" w:hAnsi="宋体"/>
          <w:b/>
          <w:color w:val="auto"/>
          <w:sz w:val="22"/>
          <w:highlight w:val="none"/>
        </w:rPr>
      </w:pPr>
    </w:p>
    <w:p>
      <w:pPr>
        <w:autoSpaceDE w:val="0"/>
        <w:autoSpaceDN w:val="0"/>
        <w:adjustRightInd w:val="0"/>
        <w:snapToGrid w:val="0"/>
        <w:spacing w:line="360" w:lineRule="atLeast"/>
        <w:textAlignment w:val="bottom"/>
        <w:rPr>
          <w:rFonts w:hint="eastAsia"/>
          <w:b/>
          <w:color w:val="auto"/>
          <w:highlight w:val="none"/>
        </w:rPr>
      </w:pPr>
    </w:p>
    <w:p>
      <w:pPr>
        <w:autoSpaceDE w:val="0"/>
        <w:autoSpaceDN w:val="0"/>
        <w:adjustRightInd w:val="0"/>
        <w:outlineLvl w:val="0"/>
        <w:rPr>
          <w:b/>
          <w:color w:val="auto"/>
          <w:sz w:val="36"/>
          <w:highlight w:val="none"/>
          <w:lang w:val="zh-CN"/>
        </w:rPr>
      </w:pPr>
      <w:r>
        <w:rPr>
          <w:rFonts w:hint="eastAsia"/>
          <w:b/>
          <w:color w:val="auto"/>
          <w:sz w:val="32"/>
          <w:highlight w:val="none"/>
          <w:lang w:val="zh-CN"/>
        </w:rPr>
        <w:t>3.1</w:t>
      </w:r>
      <w:r>
        <w:rPr>
          <w:rFonts w:hint="eastAsia"/>
          <w:b/>
          <w:color w:val="auto"/>
          <w:sz w:val="32"/>
          <w:highlight w:val="none"/>
          <w:lang w:val="en-US" w:eastAsia="zh-CN"/>
        </w:rPr>
        <w:t>3</w:t>
      </w:r>
      <w:r>
        <w:rPr>
          <w:rFonts w:hint="eastAsia"/>
          <w:b/>
          <w:color w:val="auto"/>
          <w:sz w:val="32"/>
          <w:highlight w:val="none"/>
          <w:lang w:val="zh-CN"/>
        </w:rPr>
        <w:t>节能（环保）产品清单</w:t>
      </w:r>
      <w:r>
        <w:rPr>
          <w:rFonts w:hint="eastAsia"/>
          <w:b/>
          <w:color w:val="auto"/>
          <w:sz w:val="30"/>
          <w:szCs w:val="30"/>
          <w:highlight w:val="none"/>
        </w:rPr>
        <w:t xml:space="preserve"> </w:t>
      </w:r>
      <w:r>
        <w:rPr>
          <w:rFonts w:hint="eastAsia"/>
          <w:b/>
          <w:color w:val="auto"/>
          <w:sz w:val="30"/>
          <w:szCs w:val="30"/>
          <w:highlight w:val="none"/>
          <w:lang w:val="zh-CN"/>
        </w:rPr>
        <w:t xml:space="preserve">       </w:t>
      </w:r>
    </w:p>
    <w:p>
      <w:pPr>
        <w:autoSpaceDE w:val="0"/>
        <w:autoSpaceDN w:val="0"/>
        <w:adjustRightInd w:val="0"/>
        <w:spacing w:line="460" w:lineRule="atLeast"/>
        <w:jc w:val="center"/>
        <w:rPr>
          <w:rFonts w:hint="eastAsia"/>
          <w:b/>
          <w:color w:val="auto"/>
          <w:sz w:val="36"/>
          <w:highlight w:val="none"/>
          <w:lang w:val="zh-CN"/>
        </w:rPr>
      </w:pPr>
      <w:r>
        <w:rPr>
          <w:rFonts w:hint="eastAsia"/>
          <w:b/>
          <w:color w:val="auto"/>
          <w:sz w:val="36"/>
          <w:highlight w:val="none"/>
          <w:lang w:val="zh-CN"/>
        </w:rPr>
        <w:t>节能（环保）产品清单</w:t>
      </w:r>
    </w:p>
    <w:p>
      <w:pPr>
        <w:autoSpaceDE w:val="0"/>
        <w:autoSpaceDN w:val="0"/>
        <w:adjustRightInd w:val="0"/>
        <w:spacing w:line="460" w:lineRule="atLeast"/>
        <w:jc w:val="center"/>
        <w:rPr>
          <w:b/>
          <w:color w:val="auto"/>
          <w:sz w:val="36"/>
          <w:highlight w:val="none"/>
          <w:lang w:val="zh-CN"/>
        </w:rPr>
      </w:pPr>
      <w:r>
        <w:rPr>
          <w:rFonts w:hint="eastAsia"/>
          <w:b/>
          <w:color w:val="auto"/>
          <w:sz w:val="22"/>
          <w:szCs w:val="22"/>
          <w:highlight w:val="none"/>
        </w:rPr>
        <w:t>(如有则提供)</w:t>
      </w:r>
    </w:p>
    <w:p>
      <w:pPr>
        <w:rPr>
          <w:color w:val="auto"/>
          <w:sz w:val="22"/>
          <w:szCs w:val="22"/>
          <w:highlight w:val="none"/>
        </w:rPr>
      </w:pPr>
      <w:r>
        <w:rPr>
          <w:rFonts w:hint="eastAsia"/>
          <w:color w:val="auto"/>
          <w:sz w:val="22"/>
          <w:szCs w:val="22"/>
          <w:highlight w:val="none"/>
        </w:rPr>
        <w:t>（1）投标产品中节能产品明细清单</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制造商</w:t>
            </w: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品牌</w:t>
            </w: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产品名称、规格型号</w:t>
            </w: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节字标志认证证书号</w:t>
            </w: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产品所在节能产品政府采购清单页码</w:t>
            </w: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bl>
    <w:p>
      <w:pPr>
        <w:spacing w:line="460" w:lineRule="exact"/>
        <w:rPr>
          <w:color w:val="auto"/>
          <w:sz w:val="22"/>
          <w:szCs w:val="22"/>
          <w:highlight w:val="none"/>
        </w:rPr>
      </w:pPr>
      <w:r>
        <w:rPr>
          <w:rFonts w:hint="eastAsia"/>
          <w:color w:val="auto"/>
          <w:sz w:val="22"/>
          <w:szCs w:val="22"/>
          <w:highlight w:val="none"/>
        </w:rPr>
        <w:t>（2）投标产品中环保产品明细清单</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企业名称</w:t>
            </w: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注册商标</w:t>
            </w: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产品名称、规格型号</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中国环境标志认证证书编号</w:t>
            </w: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认证证书有效截止日期</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产品所在环境标志产品政府采购清单页码</w:t>
            </w: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bl>
    <w:p>
      <w:pPr>
        <w:spacing w:line="460" w:lineRule="exact"/>
        <w:rPr>
          <w:rFonts w:hint="eastAsia"/>
          <w:color w:val="auto"/>
          <w:sz w:val="22"/>
          <w:szCs w:val="22"/>
          <w:highlight w:val="none"/>
        </w:rPr>
      </w:pPr>
      <w:r>
        <w:rPr>
          <w:rFonts w:hint="eastAsia"/>
          <w:color w:val="auto"/>
          <w:sz w:val="22"/>
          <w:szCs w:val="22"/>
          <w:highlight w:val="none"/>
        </w:rPr>
        <w:t>说明：1、表后附所投相关产品对应在节能（环保）产品清单中的证明材料；</w:t>
      </w:r>
    </w:p>
    <w:p>
      <w:pPr>
        <w:spacing w:line="460" w:lineRule="exact"/>
        <w:ind w:firstLine="660" w:firstLineChars="300"/>
        <w:rPr>
          <w:color w:val="auto"/>
          <w:sz w:val="22"/>
          <w:szCs w:val="22"/>
          <w:highlight w:val="none"/>
        </w:rPr>
      </w:pPr>
      <w:r>
        <w:rPr>
          <w:rFonts w:hint="eastAsia"/>
          <w:color w:val="auto"/>
          <w:sz w:val="22"/>
          <w:szCs w:val="22"/>
          <w:highlight w:val="none"/>
        </w:rPr>
        <w:t>2、表格可以延续。</w:t>
      </w:r>
    </w:p>
    <w:p>
      <w:pPr>
        <w:rPr>
          <w:color w:val="auto"/>
          <w:highlight w:val="none"/>
        </w:rPr>
      </w:pPr>
    </w:p>
    <w:p>
      <w:pPr>
        <w:rPr>
          <w:color w:val="auto"/>
          <w:highlight w:val="none"/>
        </w:rPr>
      </w:pPr>
    </w:p>
    <w:p>
      <w:pPr>
        <w:autoSpaceDE w:val="0"/>
        <w:autoSpaceDN w:val="0"/>
        <w:adjustRightInd w:val="0"/>
        <w:spacing w:line="460" w:lineRule="atLeast"/>
        <w:rPr>
          <w:rFonts w:cs="Arial"/>
          <w:color w:val="auto"/>
          <w:sz w:val="22"/>
          <w:highlight w:val="none"/>
          <w:lang w:val="zh-CN"/>
        </w:rPr>
      </w:pPr>
      <w:r>
        <w:rPr>
          <w:rFonts w:hint="eastAsia" w:cs="Arial"/>
          <w:color w:val="auto"/>
          <w:sz w:val="22"/>
          <w:highlight w:val="none"/>
          <w:lang w:val="zh-CN"/>
        </w:rPr>
        <w:t xml:space="preserve">供应商盖章：   </w:t>
      </w:r>
    </w:p>
    <w:p>
      <w:pPr>
        <w:spacing w:line="460" w:lineRule="exact"/>
        <w:rPr>
          <w:rFonts w:hint="eastAsia" w:eastAsia="新宋体"/>
          <w:b/>
          <w:color w:val="auto"/>
          <w:sz w:val="36"/>
          <w:szCs w:val="36"/>
          <w:highlight w:val="none"/>
        </w:rPr>
      </w:pPr>
      <w:r>
        <w:rPr>
          <w:rFonts w:hint="eastAsia"/>
          <w:color w:val="auto"/>
          <w:sz w:val="22"/>
          <w:szCs w:val="22"/>
          <w:highlight w:val="none"/>
        </w:rPr>
        <w:t xml:space="preserve">日 期：       </w:t>
      </w:r>
    </w:p>
    <w:p>
      <w:pPr>
        <w:spacing w:line="360" w:lineRule="auto"/>
        <w:jc w:val="left"/>
        <w:rPr>
          <w:rFonts w:hint="default" w:eastAsia="宋体"/>
          <w:b/>
          <w:color w:val="auto"/>
          <w:sz w:val="32"/>
          <w:highlight w:val="none"/>
          <w:lang w:val="en-US" w:eastAsia="zh-CN"/>
        </w:rPr>
      </w:pPr>
      <w:r>
        <w:rPr>
          <w:rFonts w:hint="eastAsia"/>
          <w:b/>
          <w:color w:val="auto"/>
          <w:sz w:val="32"/>
          <w:highlight w:val="none"/>
          <w:lang w:val="zh-CN"/>
        </w:rPr>
        <w:t>3.1</w:t>
      </w:r>
      <w:r>
        <w:rPr>
          <w:rFonts w:hint="eastAsia"/>
          <w:b/>
          <w:color w:val="auto"/>
          <w:sz w:val="32"/>
          <w:highlight w:val="none"/>
          <w:lang w:val="en-US" w:eastAsia="zh-CN"/>
        </w:rPr>
        <w:t>4质量服务承诺书、</w:t>
      </w:r>
      <w:r>
        <w:rPr>
          <w:rFonts w:hint="eastAsia" w:ascii="新宋体" w:hAnsi="新宋体" w:eastAsia="新宋体"/>
          <w:b/>
          <w:color w:val="auto"/>
          <w:sz w:val="28"/>
          <w:szCs w:val="28"/>
          <w:highlight w:val="none"/>
        </w:rPr>
        <w:t>诚信投标承诺书</w:t>
      </w:r>
    </w:p>
    <w:p>
      <w:pPr>
        <w:tabs>
          <w:tab w:val="left" w:pos="1575"/>
        </w:tabs>
        <w:adjustRightInd w:val="0"/>
        <w:snapToGrid w:val="0"/>
        <w:spacing w:line="360" w:lineRule="auto"/>
        <w:jc w:val="center"/>
        <w:rPr>
          <w:rFonts w:hint="eastAsia" w:eastAsia="新宋体"/>
          <w:b/>
          <w:color w:val="auto"/>
          <w:sz w:val="36"/>
          <w:szCs w:val="36"/>
          <w:highlight w:val="none"/>
        </w:rPr>
      </w:pPr>
      <w:r>
        <w:rPr>
          <w:rFonts w:hint="eastAsia" w:eastAsia="新宋体"/>
          <w:b/>
          <w:color w:val="auto"/>
          <w:sz w:val="36"/>
          <w:szCs w:val="36"/>
          <w:highlight w:val="none"/>
        </w:rPr>
        <w:t>质量服务承诺书</w:t>
      </w:r>
    </w:p>
    <w:p>
      <w:pPr>
        <w:spacing w:line="360" w:lineRule="auto"/>
        <w:rPr>
          <w:rFonts w:hint="eastAsia"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pPr>
        <w:spacing w:line="360" w:lineRule="auto"/>
        <w:ind w:firstLine="480" w:firstLineChars="200"/>
        <w:rPr>
          <w:rFonts w:hint="eastAsia"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pPr>
        <w:spacing w:line="360" w:lineRule="auto"/>
        <w:rPr>
          <w:rFonts w:hint="eastAsia"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（项目名称）项目的中标人，将作出以下承诺：</w:t>
      </w:r>
    </w:p>
    <w:p>
      <w:pPr>
        <w:spacing w:line="360" w:lineRule="auto"/>
        <w:ind w:firstLine="480" w:firstLineChars="200"/>
        <w:rPr>
          <w:rFonts w:hint="eastAsia" w:hAnsi="新宋体" w:eastAsia="新宋体"/>
          <w:color w:val="auto"/>
          <w:highlight w:val="none"/>
        </w:rPr>
      </w:pPr>
    </w:p>
    <w:p>
      <w:pPr>
        <w:spacing w:line="360" w:lineRule="auto"/>
        <w:ind w:firstLine="480" w:firstLineChars="200"/>
        <w:rPr>
          <w:rFonts w:hint="eastAsia" w:eastAsia="新宋体"/>
          <w:color w:val="auto"/>
          <w:highlight w:val="none"/>
        </w:rPr>
      </w:pPr>
      <w:r>
        <w:rPr>
          <w:rFonts w:hint="eastAsia" w:hAnsi="新宋体" w:eastAsia="新宋体"/>
          <w:color w:val="auto"/>
          <w:highlight w:val="none"/>
        </w:rPr>
        <w:t>一、本公司所提供的产品及其配件都是质量合格产品；</w:t>
      </w:r>
    </w:p>
    <w:p>
      <w:pPr>
        <w:spacing w:line="360" w:lineRule="auto"/>
        <w:rPr>
          <w:rFonts w:hint="eastAsia" w:eastAsia="新宋体"/>
          <w:color w:val="auto"/>
          <w:highlight w:val="none"/>
        </w:rPr>
      </w:pPr>
    </w:p>
    <w:p>
      <w:pPr>
        <w:spacing w:line="360" w:lineRule="auto"/>
        <w:ind w:firstLine="480" w:firstLineChars="200"/>
        <w:rPr>
          <w:rFonts w:hint="eastAsia" w:eastAsia="新宋体"/>
          <w:color w:val="auto"/>
          <w:highlight w:val="none"/>
        </w:rPr>
      </w:pPr>
      <w:r>
        <w:rPr>
          <w:rFonts w:hint="eastAsia" w:hAnsi="新宋体" w:eastAsia="新宋体"/>
          <w:color w:val="auto"/>
          <w:highlight w:val="none"/>
        </w:rPr>
        <w:t>二、在招标文件要求的产品质保期内，对由质量问题的产品进行无条件技术服务直至满足使用方的项目使用需求；</w:t>
      </w:r>
    </w:p>
    <w:p>
      <w:pPr>
        <w:spacing w:line="360" w:lineRule="auto"/>
        <w:rPr>
          <w:rFonts w:hint="eastAsia" w:eastAsia="新宋体"/>
          <w:color w:val="auto"/>
          <w:highlight w:val="none"/>
        </w:rPr>
      </w:pPr>
    </w:p>
    <w:p>
      <w:pPr>
        <w:spacing w:line="360" w:lineRule="auto"/>
        <w:ind w:firstLine="480" w:firstLineChars="200"/>
        <w:rPr>
          <w:rFonts w:hint="eastAsia" w:hAnsi="新宋体" w:eastAsia="新宋体"/>
          <w:color w:val="auto"/>
          <w:highlight w:val="none"/>
        </w:rPr>
      </w:pPr>
      <w:r>
        <w:rPr>
          <w:rFonts w:hint="eastAsia" w:hAnsi="新宋体" w:eastAsia="新宋体"/>
          <w:color w:val="auto"/>
          <w:highlight w:val="none"/>
        </w:rPr>
        <w:t>本承诺书自开标日起至招标方与中标方合同结束之日均有效。</w:t>
      </w:r>
    </w:p>
    <w:p>
      <w:pPr>
        <w:spacing w:line="360" w:lineRule="auto"/>
        <w:ind w:firstLine="480" w:firstLineChars="200"/>
        <w:rPr>
          <w:rFonts w:hint="eastAsia" w:hAnsi="新宋体" w:eastAsia="新宋体"/>
          <w:color w:val="auto"/>
          <w:highlight w:val="none"/>
        </w:rPr>
      </w:pPr>
    </w:p>
    <w:p>
      <w:pPr>
        <w:spacing w:line="360" w:lineRule="auto"/>
        <w:ind w:firstLine="480" w:firstLineChars="200"/>
        <w:rPr>
          <w:rFonts w:hint="eastAsia" w:eastAsia="新宋体"/>
          <w:color w:val="auto"/>
          <w:highlight w:val="none"/>
        </w:rPr>
      </w:pPr>
    </w:p>
    <w:p>
      <w:pPr>
        <w:spacing w:line="360" w:lineRule="auto"/>
        <w:ind w:firstLine="480" w:firstLineChars="200"/>
        <w:rPr>
          <w:rFonts w:hint="eastAsia" w:eastAsia="新宋体"/>
          <w:color w:val="auto"/>
          <w:highlight w:val="none"/>
        </w:rPr>
      </w:pPr>
    </w:p>
    <w:p>
      <w:pPr>
        <w:spacing w:line="360" w:lineRule="auto"/>
        <w:ind w:firstLine="480" w:firstLineChars="200"/>
        <w:rPr>
          <w:rFonts w:hint="eastAsia" w:eastAsia="新宋体"/>
          <w:color w:val="auto"/>
          <w:highlight w:val="none"/>
        </w:rPr>
      </w:pPr>
    </w:p>
    <w:p>
      <w:pPr>
        <w:snapToGrid w:val="0"/>
        <w:spacing w:line="360" w:lineRule="auto"/>
        <w:ind w:right="480"/>
        <w:rPr>
          <w:rFonts w:hint="eastAsia"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pPr>
        <w:snapToGrid w:val="0"/>
        <w:spacing w:line="360" w:lineRule="auto"/>
        <w:ind w:right="480"/>
        <w:rPr>
          <w:rFonts w:hint="eastAsia"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pPr>
        <w:snapToGrid w:val="0"/>
        <w:spacing w:line="360" w:lineRule="auto"/>
        <w:ind w:right="480"/>
        <w:rPr>
          <w:rFonts w:hint="eastAsia"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pPr>
        <w:snapToGrid w:val="0"/>
        <w:spacing w:line="360" w:lineRule="auto"/>
        <w:ind w:right="480"/>
        <w:rPr>
          <w:rFonts w:hint="eastAsia" w:hAnsi="新宋体" w:eastAsia="新宋体"/>
          <w:color w:val="auto"/>
          <w:highlight w:val="none"/>
          <w:lang w:val="zh-CN"/>
        </w:rPr>
      </w:pPr>
      <w:r>
        <w:rPr>
          <w:rFonts w:hint="eastAsia" w:hAnsi="新宋体" w:eastAsia="新宋体"/>
          <w:color w:val="auto"/>
          <w:highlight w:val="none"/>
          <w:lang w:val="zh-CN"/>
        </w:rPr>
        <w:t>供应商全称（盖章）：</w:t>
      </w:r>
    </w:p>
    <w:p>
      <w:pPr>
        <w:snapToGrid w:val="0"/>
        <w:spacing w:line="360" w:lineRule="auto"/>
        <w:ind w:right="480"/>
        <w:rPr>
          <w:rFonts w:hint="eastAsia" w:hAnsi="新宋体" w:eastAsia="新宋体"/>
          <w:color w:val="auto"/>
          <w:highlight w:val="none"/>
          <w:lang w:val="zh-CN"/>
        </w:rPr>
      </w:pPr>
      <w:r>
        <w:rPr>
          <w:rFonts w:hint="eastAsia" w:hAnsi="新宋体" w:eastAsia="新宋体"/>
          <w:color w:val="auto"/>
          <w:highlight w:val="none"/>
          <w:lang w:val="zh-CN"/>
        </w:rPr>
        <w:t>法定代表人或授权代表（签字或签章）：</w:t>
      </w:r>
    </w:p>
    <w:p>
      <w:pPr>
        <w:snapToGrid w:val="0"/>
        <w:spacing w:line="360" w:lineRule="auto"/>
        <w:ind w:right="480"/>
        <w:rPr>
          <w:rFonts w:hint="eastAsia" w:hAnsi="新宋体" w:eastAsia="新宋体"/>
          <w:color w:val="auto"/>
          <w:highlight w:val="none"/>
          <w:lang w:val="zh-CN"/>
        </w:rPr>
      </w:pPr>
      <w:r>
        <w:rPr>
          <w:rFonts w:hint="eastAsia" w:hAnsi="新宋体" w:eastAsia="新宋体"/>
          <w:color w:val="auto"/>
          <w:highlight w:val="none"/>
          <w:lang w:val="zh-CN"/>
        </w:rPr>
        <w:t>日期：</w:t>
      </w:r>
    </w:p>
    <w:p>
      <w:pPr>
        <w:pStyle w:val="10"/>
        <w:adjustRightInd w:val="0"/>
        <w:snapToGrid w:val="0"/>
        <w:spacing w:line="400" w:lineRule="exact"/>
        <w:rPr>
          <w:rFonts w:hint="eastAsia" w:hAnsi="宋体" w:eastAsia="新宋体"/>
          <w:color w:val="auto"/>
          <w:sz w:val="24"/>
          <w:highlight w:val="none"/>
        </w:rPr>
      </w:pPr>
    </w:p>
    <w:p>
      <w:pPr>
        <w:pStyle w:val="10"/>
        <w:adjustRightInd w:val="0"/>
        <w:snapToGrid w:val="0"/>
        <w:spacing w:line="400" w:lineRule="exact"/>
        <w:rPr>
          <w:rFonts w:hint="eastAsia" w:hAnsi="宋体" w:eastAsia="新宋体"/>
          <w:color w:val="auto"/>
          <w:sz w:val="24"/>
          <w:highlight w:val="none"/>
        </w:rPr>
      </w:pPr>
    </w:p>
    <w:p>
      <w:pPr>
        <w:pStyle w:val="10"/>
        <w:adjustRightInd w:val="0"/>
        <w:snapToGrid w:val="0"/>
        <w:spacing w:line="400" w:lineRule="exact"/>
        <w:rPr>
          <w:rFonts w:hint="eastAsia" w:hAnsi="宋体" w:eastAsia="新宋体"/>
          <w:color w:val="auto"/>
          <w:sz w:val="24"/>
          <w:highlight w:val="none"/>
        </w:rPr>
      </w:pPr>
    </w:p>
    <w:p>
      <w:pPr>
        <w:pStyle w:val="10"/>
        <w:adjustRightInd w:val="0"/>
        <w:snapToGrid w:val="0"/>
        <w:spacing w:line="400" w:lineRule="exact"/>
        <w:rPr>
          <w:rFonts w:hint="eastAsia" w:hAnsi="宋体" w:eastAsia="新宋体"/>
          <w:color w:val="auto"/>
          <w:sz w:val="24"/>
          <w:highlight w:val="none"/>
        </w:rPr>
      </w:pPr>
    </w:p>
    <w:p>
      <w:pPr>
        <w:pStyle w:val="10"/>
        <w:adjustRightInd w:val="0"/>
        <w:snapToGrid w:val="0"/>
        <w:spacing w:line="400" w:lineRule="exact"/>
        <w:rPr>
          <w:rFonts w:hint="eastAsia" w:hAnsi="宋体" w:eastAsia="新宋体"/>
          <w:color w:val="auto"/>
          <w:sz w:val="24"/>
          <w:highlight w:val="none"/>
        </w:rPr>
      </w:pPr>
    </w:p>
    <w:p>
      <w:pPr>
        <w:pStyle w:val="10"/>
        <w:adjustRightInd w:val="0"/>
        <w:snapToGrid w:val="0"/>
        <w:spacing w:line="400" w:lineRule="exact"/>
        <w:rPr>
          <w:rFonts w:hint="eastAsia" w:hAnsi="宋体" w:eastAsia="新宋体"/>
          <w:color w:val="auto"/>
          <w:sz w:val="24"/>
          <w:highlight w:val="none"/>
        </w:rPr>
      </w:pPr>
    </w:p>
    <w:p>
      <w:pPr>
        <w:pStyle w:val="10"/>
        <w:adjustRightInd w:val="0"/>
        <w:snapToGrid w:val="0"/>
        <w:spacing w:line="400" w:lineRule="exact"/>
        <w:rPr>
          <w:rFonts w:hint="eastAsia" w:hAnsi="宋体" w:eastAsia="新宋体"/>
          <w:color w:val="auto"/>
          <w:sz w:val="24"/>
          <w:highlight w:val="none"/>
        </w:rPr>
      </w:pPr>
    </w:p>
    <w:p>
      <w:pPr>
        <w:spacing w:line="360" w:lineRule="auto"/>
        <w:jc w:val="both"/>
        <w:rPr>
          <w:rFonts w:hint="eastAsia" w:ascii="新宋体" w:hAnsi="新宋体" w:eastAsia="新宋体"/>
          <w:b/>
          <w:color w:val="auto"/>
          <w:sz w:val="28"/>
          <w:szCs w:val="28"/>
          <w:highlight w:val="none"/>
        </w:rPr>
      </w:pPr>
    </w:p>
    <w:p>
      <w:pPr>
        <w:spacing w:line="360" w:lineRule="auto"/>
        <w:jc w:val="center"/>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rPr>
        <w:t>诚信投标承诺书</w:t>
      </w:r>
    </w:p>
    <w:p>
      <w:pPr>
        <w:spacing w:line="520" w:lineRule="exact"/>
        <w:ind w:right="-175" w:rightChars="-73"/>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pPr>
        <w:spacing w:line="500" w:lineRule="exact"/>
        <w:ind w:firstLine="440" w:firstLineChars="200"/>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highlight w:val="none"/>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highlight w:val="none"/>
        </w:rPr>
        <w:t>相关规定以及有关廉洁要求，特承诺如下事项：</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pPr>
        <w:snapToGrid w:val="0"/>
        <w:spacing w:line="500" w:lineRule="exact"/>
        <w:ind w:firstLine="385" w:firstLineChars="175"/>
        <w:rPr>
          <w:rFonts w:hint="eastAsia" w:ascii="新宋体" w:hAnsi="新宋体" w:eastAsia="新宋体"/>
          <w:color w:val="auto"/>
          <w:sz w:val="22"/>
          <w:szCs w:val="22"/>
          <w:highlight w:val="none"/>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0"/>
        <w:adjustRightInd w:val="0"/>
        <w:snapToGrid w:val="0"/>
        <w:spacing w:line="400" w:lineRule="exact"/>
        <w:jc w:val="center"/>
        <w:rPr>
          <w:rFonts w:hint="eastAsia" w:hAnsi="宋体" w:eastAsia="新宋体"/>
          <w:color w:val="auto"/>
          <w:sz w:val="24"/>
          <w:highlight w:val="none"/>
        </w:rPr>
      </w:pPr>
    </w:p>
    <w:p>
      <w:pPr>
        <w:rPr>
          <w:rFonts w:hint="eastAsia"/>
          <w:b/>
          <w:color w:val="auto"/>
          <w:sz w:val="32"/>
          <w:highlight w:val="none"/>
          <w:lang w:val="zh-CN"/>
        </w:rPr>
      </w:pPr>
    </w:p>
    <w:p>
      <w:pPr>
        <w:rPr>
          <w:rFonts w:hint="eastAsia"/>
          <w:b/>
          <w:color w:val="auto"/>
          <w:sz w:val="32"/>
          <w:highlight w:val="none"/>
          <w:lang w:val="zh-CN"/>
        </w:rPr>
      </w:pPr>
    </w:p>
    <w:p>
      <w:pPr>
        <w:rPr>
          <w:rFonts w:hint="eastAsia"/>
          <w:b/>
          <w:color w:val="auto"/>
          <w:sz w:val="32"/>
          <w:highlight w:val="none"/>
          <w:lang w:val="zh-CN"/>
        </w:rPr>
      </w:pPr>
    </w:p>
    <w:p>
      <w:pPr>
        <w:rPr>
          <w:rFonts w:hint="eastAsia"/>
          <w:b/>
          <w:color w:val="auto"/>
          <w:sz w:val="32"/>
          <w:highlight w:val="none"/>
          <w:lang w:val="zh-CN"/>
        </w:rPr>
      </w:pPr>
    </w:p>
    <w:p>
      <w:pPr>
        <w:rPr>
          <w:rFonts w:hint="eastAsia"/>
          <w:b/>
          <w:color w:val="auto"/>
          <w:sz w:val="32"/>
          <w:highlight w:val="none"/>
          <w:lang w:val="zh-CN"/>
        </w:rPr>
      </w:pPr>
      <w:r>
        <w:rPr>
          <w:rFonts w:hint="eastAsia"/>
          <w:b/>
          <w:color w:val="auto"/>
          <w:sz w:val="32"/>
          <w:highlight w:val="none"/>
          <w:lang w:val="zh-CN"/>
        </w:rPr>
        <w:t>3.1</w:t>
      </w:r>
      <w:r>
        <w:rPr>
          <w:rFonts w:hint="eastAsia"/>
          <w:b/>
          <w:color w:val="auto"/>
          <w:sz w:val="32"/>
          <w:highlight w:val="none"/>
          <w:lang w:val="en-US" w:eastAsia="zh-CN"/>
        </w:rPr>
        <w:t>5</w:t>
      </w:r>
      <w:r>
        <w:rPr>
          <w:rFonts w:hint="eastAsia"/>
          <w:b/>
          <w:color w:val="auto"/>
          <w:sz w:val="32"/>
          <w:highlight w:val="none"/>
          <w:lang w:val="zh-CN"/>
        </w:rPr>
        <w:t>供应商认为有必要提供的其他材料或说明（如有）</w:t>
      </w:r>
    </w:p>
    <w:p>
      <w:pPr>
        <w:pStyle w:val="8"/>
        <w:rPr>
          <w:color w:val="auto"/>
          <w:highlight w:val="none"/>
        </w:rPr>
      </w:pPr>
    </w:p>
    <w:p>
      <w:pPr>
        <w:spacing w:line="360" w:lineRule="auto"/>
        <w:jc w:val="center"/>
        <w:rPr>
          <w:rFonts w:ascii="华文中宋" w:hAnsi="华文中宋" w:eastAsia="华文中宋"/>
          <w:b/>
          <w:color w:val="auto"/>
          <w:sz w:val="40"/>
          <w:highlight w:val="none"/>
        </w:rPr>
      </w:pPr>
      <w:r>
        <w:rPr>
          <w:rFonts w:hint="eastAsia" w:ascii="华文中宋" w:hAnsi="华文中宋" w:eastAsia="华文中宋"/>
          <w:b/>
          <w:color w:val="auto"/>
          <w:sz w:val="40"/>
          <w:highlight w:val="none"/>
        </w:rPr>
        <w:t>供应商认为有必要提供的其他材料或说明</w:t>
      </w:r>
    </w:p>
    <w:p>
      <w:pPr>
        <w:spacing w:line="360" w:lineRule="auto"/>
        <w:rPr>
          <w:rFonts w:hint="eastAsia" w:ascii="仿宋" w:hAnsi="仿宋" w:eastAsia="仿宋" w:cs="Arial"/>
          <w:b/>
          <w:color w:val="auto"/>
          <w:szCs w:val="22"/>
          <w:highlight w:val="none"/>
          <w:u w:val="single"/>
          <w:lang w:eastAsia="zh-CN"/>
        </w:rPr>
      </w:pPr>
      <w:r>
        <w:rPr>
          <w:rFonts w:hint="eastAsia" w:ascii="仿宋" w:hAnsi="仿宋" w:eastAsia="仿宋" w:cs="Arial"/>
          <w:b/>
          <w:color w:val="auto"/>
          <w:szCs w:val="22"/>
          <w:highlight w:val="none"/>
        </w:rPr>
        <w:t>项目</w:t>
      </w:r>
      <w:r>
        <w:rPr>
          <w:rFonts w:ascii="仿宋" w:hAnsi="仿宋" w:eastAsia="仿宋" w:cs="Arial"/>
          <w:b/>
          <w:color w:val="auto"/>
          <w:szCs w:val="22"/>
          <w:highlight w:val="none"/>
        </w:rPr>
        <w:t>名称：</w:t>
      </w:r>
      <w:r>
        <w:rPr>
          <w:rFonts w:hint="eastAsia" w:ascii="仿宋" w:hAnsi="仿宋" w:eastAsia="仿宋" w:cs="Arial"/>
          <w:b/>
          <w:color w:val="auto"/>
          <w:szCs w:val="22"/>
          <w:highlight w:val="none"/>
          <w:u w:val="single"/>
          <w:lang w:eastAsia="zh-CN"/>
        </w:rPr>
        <w:t>平阳县人民医院后勤综合管控系统项目</w:t>
      </w:r>
    </w:p>
    <w:p>
      <w:pPr>
        <w:spacing w:line="360" w:lineRule="auto"/>
        <w:rPr>
          <w:rFonts w:hint="eastAsia" w:ascii="仿宋" w:hAnsi="仿宋" w:eastAsia="仿宋" w:cs="Arial"/>
          <w:b/>
          <w:color w:val="auto"/>
          <w:highlight w:val="none"/>
          <w:u w:val="single"/>
        </w:rPr>
      </w:pPr>
      <w:r>
        <w:rPr>
          <w:rFonts w:ascii="仿宋" w:hAnsi="仿宋" w:eastAsia="仿宋" w:cs="Arial"/>
          <w:b/>
          <w:color w:val="auto"/>
          <w:szCs w:val="22"/>
          <w:highlight w:val="none"/>
        </w:rPr>
        <w:t>项目编号：</w:t>
      </w:r>
      <w:r>
        <w:rPr>
          <w:rFonts w:hint="eastAsia" w:ascii="仿宋" w:hAnsi="仿宋" w:eastAsia="仿宋" w:cs="Arial"/>
          <w:b/>
          <w:color w:val="auto"/>
          <w:szCs w:val="22"/>
          <w:highlight w:val="none"/>
          <w:u w:val="single"/>
        </w:rPr>
        <w:t xml:space="preserve">     </w:t>
      </w:r>
      <w:r>
        <w:rPr>
          <w:rFonts w:hint="eastAsia" w:ascii="仿宋" w:hAnsi="仿宋" w:eastAsia="仿宋" w:cs="Arial"/>
          <w:b/>
          <w:color w:val="auto"/>
          <w:highlight w:val="none"/>
          <w:u w:val="single"/>
        </w:rPr>
        <w:t xml:space="preserve"> </w:t>
      </w:r>
    </w:p>
    <w:tbl>
      <w:tblPr>
        <w:tblStyle w:val="21"/>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noWrap w:val="0"/>
            <w:vAlign w:val="top"/>
          </w:tcPr>
          <w:p>
            <w:pPr>
              <w:spacing w:line="360" w:lineRule="auto"/>
              <w:rPr>
                <w:rFonts w:ascii="Arial" w:hAnsi="新宋体" w:eastAsia="新宋体" w:cs="Arial"/>
                <w:color w:val="auto"/>
                <w:szCs w:val="21"/>
                <w:highlight w:val="none"/>
              </w:rPr>
            </w:pPr>
          </w:p>
        </w:tc>
      </w:tr>
    </w:tbl>
    <w:p>
      <w:pPr>
        <w:snapToGrid w:val="0"/>
        <w:spacing w:line="360" w:lineRule="auto"/>
        <w:rPr>
          <w:rFonts w:ascii="仿宋" w:hAnsi="仿宋" w:eastAsia="仿宋" w:cs="Arial"/>
          <w:color w:val="auto"/>
          <w:highlight w:val="none"/>
        </w:rPr>
      </w:pPr>
      <w:r>
        <w:rPr>
          <w:rFonts w:hint="eastAsia" w:ascii="仿宋" w:hAnsi="仿宋" w:eastAsia="仿宋" w:cs="Arial"/>
          <w:color w:val="auto"/>
          <w:highlight w:val="none"/>
        </w:rPr>
        <w:t>供应商名称（盖章）：</w:t>
      </w:r>
      <w:r>
        <w:rPr>
          <w:rFonts w:ascii="仿宋" w:hAnsi="仿宋" w:eastAsia="仿宋" w:cs="Arial"/>
          <w:color w:val="auto"/>
          <w:highlight w:val="none"/>
        </w:rPr>
        <w:t>____________________________________________</w:t>
      </w:r>
    </w:p>
    <w:p>
      <w:pPr>
        <w:snapToGrid w:val="0"/>
        <w:spacing w:line="360" w:lineRule="auto"/>
        <w:rPr>
          <w:rFonts w:hint="eastAsia" w:ascii="仿宋" w:hAnsi="仿宋" w:eastAsia="仿宋" w:cs="Arial"/>
          <w:color w:val="auto"/>
          <w:highlight w:val="none"/>
          <w:u w:val="single"/>
        </w:rPr>
      </w:pPr>
      <w:r>
        <w:rPr>
          <w:rFonts w:hint="eastAsia" w:ascii="仿宋" w:hAnsi="仿宋" w:eastAsia="仿宋" w:cs="Arial"/>
          <w:color w:val="auto"/>
          <w:highlight w:val="none"/>
        </w:rPr>
        <w:t>法定代表人或其授权代表（签字或盖章）：</w:t>
      </w:r>
      <w:r>
        <w:rPr>
          <w:rFonts w:ascii="仿宋" w:hAnsi="仿宋" w:eastAsia="仿宋" w:cs="Arial"/>
          <w:color w:val="auto"/>
          <w:highlight w:val="none"/>
        </w:rPr>
        <w:t>____________________________</w:t>
      </w:r>
    </w:p>
    <w:p>
      <w:pPr>
        <w:spacing w:line="360" w:lineRule="auto"/>
        <w:rPr>
          <w:rFonts w:ascii="Arial" w:hAnsi="Arial" w:eastAsia="新宋体" w:cs="Arial"/>
          <w:color w:val="auto"/>
          <w:szCs w:val="21"/>
          <w:highlight w:val="none"/>
          <w:u w:val="single"/>
        </w:rPr>
      </w:pPr>
      <w:r>
        <w:rPr>
          <w:rFonts w:hint="eastAsia" w:ascii="仿宋" w:hAnsi="仿宋" w:eastAsia="仿宋" w:cs="Arial"/>
          <w:color w:val="auto"/>
          <w:highlight w:val="none"/>
        </w:rPr>
        <w:t>日期：</w:t>
      </w:r>
      <w:r>
        <w:rPr>
          <w:rFonts w:ascii="仿宋" w:hAnsi="仿宋" w:eastAsia="仿宋" w:cs="Arial"/>
          <w:color w:val="auto"/>
          <w:highlight w:val="none"/>
        </w:rPr>
        <w:t>________</w:t>
      </w:r>
      <w:r>
        <w:rPr>
          <w:rFonts w:hint="eastAsia" w:ascii="仿宋" w:hAnsi="仿宋" w:eastAsia="仿宋" w:cs="Arial"/>
          <w:color w:val="auto"/>
          <w:highlight w:val="none"/>
        </w:rPr>
        <w:t>年</w:t>
      </w:r>
      <w:r>
        <w:rPr>
          <w:rFonts w:ascii="仿宋" w:hAnsi="仿宋" w:eastAsia="仿宋" w:cs="Arial"/>
          <w:color w:val="auto"/>
          <w:highlight w:val="none"/>
        </w:rPr>
        <w:t>____</w:t>
      </w:r>
      <w:r>
        <w:rPr>
          <w:rFonts w:hint="eastAsia" w:ascii="仿宋" w:hAnsi="仿宋" w:eastAsia="仿宋" w:cs="Arial"/>
          <w:color w:val="auto"/>
          <w:highlight w:val="none"/>
        </w:rPr>
        <w:t>月</w:t>
      </w:r>
      <w:r>
        <w:rPr>
          <w:rFonts w:ascii="仿宋" w:hAnsi="仿宋" w:eastAsia="仿宋" w:cs="Arial"/>
          <w:color w:val="auto"/>
          <w:highlight w:val="none"/>
        </w:rPr>
        <w:t>____</w:t>
      </w:r>
      <w:r>
        <w:rPr>
          <w:rFonts w:hint="eastAsia" w:ascii="仿宋" w:hAnsi="仿宋" w:eastAsia="仿宋" w:cs="Arial"/>
          <w:color w:val="auto"/>
          <w:highlight w:val="none"/>
        </w:rPr>
        <w:t>日</w:t>
      </w:r>
    </w:p>
    <w:p>
      <w:pPr>
        <w:pStyle w:val="10"/>
        <w:adjustRightInd w:val="0"/>
        <w:snapToGrid w:val="0"/>
        <w:spacing w:line="400" w:lineRule="exact"/>
        <w:jc w:val="both"/>
        <w:rPr>
          <w:rFonts w:hint="eastAsia" w:hAnsi="宋体" w:eastAsia="新宋体"/>
          <w:color w:val="auto"/>
          <w:sz w:val="24"/>
          <w:highlight w:val="none"/>
        </w:rPr>
      </w:pPr>
    </w:p>
    <w:p>
      <w:pPr>
        <w:autoSpaceDE w:val="0"/>
        <w:autoSpaceDN w:val="0"/>
        <w:adjustRightInd w:val="0"/>
        <w:snapToGrid w:val="0"/>
        <w:spacing w:line="400" w:lineRule="exact"/>
        <w:jc w:val="center"/>
        <w:textAlignment w:val="bottom"/>
        <w:rPr>
          <w:rFonts w:hint="eastAsia"/>
          <w:color w:val="auto"/>
          <w:sz w:val="36"/>
          <w:highlight w:val="none"/>
        </w:rPr>
      </w:pPr>
    </w:p>
    <w:p>
      <w:pPr>
        <w:autoSpaceDE w:val="0"/>
        <w:autoSpaceDN w:val="0"/>
        <w:adjustRightInd w:val="0"/>
        <w:snapToGrid w:val="0"/>
        <w:spacing w:line="400" w:lineRule="exact"/>
        <w:jc w:val="center"/>
        <w:textAlignment w:val="bottom"/>
        <w:rPr>
          <w:rFonts w:hint="eastAsia"/>
          <w:color w:val="auto"/>
          <w:sz w:val="36"/>
          <w:highlight w:val="none"/>
        </w:rPr>
      </w:pPr>
    </w:p>
    <w:p>
      <w:pPr>
        <w:autoSpaceDE w:val="0"/>
        <w:autoSpaceDN w:val="0"/>
        <w:adjustRightInd w:val="0"/>
        <w:snapToGrid w:val="0"/>
        <w:spacing w:line="400" w:lineRule="exact"/>
        <w:jc w:val="center"/>
        <w:textAlignment w:val="bottom"/>
        <w:rPr>
          <w:rFonts w:hint="eastAsia"/>
          <w:color w:val="auto"/>
          <w:sz w:val="36"/>
          <w:highlight w:val="none"/>
        </w:rPr>
      </w:pPr>
      <w:r>
        <w:rPr>
          <w:rFonts w:hint="eastAsia"/>
          <w:color w:val="auto"/>
          <w:sz w:val="36"/>
          <w:highlight w:val="none"/>
        </w:rPr>
        <w:t>第六部分   评标办法</w:t>
      </w:r>
    </w:p>
    <w:p>
      <w:pPr>
        <w:pStyle w:val="13"/>
        <w:adjustRightInd w:val="0"/>
        <w:snapToGrid w:val="0"/>
        <w:spacing w:line="400" w:lineRule="exact"/>
        <w:rPr>
          <w:rFonts w:hint="eastAsia" w:hAnsi="宋体"/>
          <w:color w:val="auto"/>
          <w:sz w:val="22"/>
          <w:szCs w:val="22"/>
          <w:highlight w:val="none"/>
        </w:rPr>
      </w:pPr>
      <w:r>
        <w:rPr>
          <w:rFonts w:hint="eastAsia" w:hAnsi="宋体"/>
          <w:color w:val="auto"/>
          <w:sz w:val="22"/>
          <w:szCs w:val="22"/>
          <w:highlight w:val="none"/>
        </w:rPr>
        <w:t>根据《中华人民共和国政府采购法》等有关政府采购法规，结合本次采购的实际，按照公平、公正、科学、择优的原则选择中标供应商，特制定本评标办法。</w:t>
      </w:r>
    </w:p>
    <w:p>
      <w:pPr>
        <w:pStyle w:val="13"/>
        <w:adjustRightInd w:val="0"/>
        <w:snapToGrid w:val="0"/>
        <w:spacing w:line="400" w:lineRule="exact"/>
        <w:rPr>
          <w:rFonts w:hint="eastAsia" w:hAnsi="宋体"/>
          <w:color w:val="auto"/>
          <w:sz w:val="22"/>
          <w:szCs w:val="22"/>
          <w:highlight w:val="none"/>
        </w:rPr>
      </w:pPr>
      <w:r>
        <w:rPr>
          <w:rFonts w:hint="eastAsia" w:hAnsi="宋体"/>
          <w:color w:val="auto"/>
          <w:sz w:val="22"/>
          <w:szCs w:val="22"/>
          <w:highlight w:val="none"/>
        </w:rPr>
        <w:t>一、总则</w:t>
      </w:r>
    </w:p>
    <w:p>
      <w:pPr>
        <w:pStyle w:val="13"/>
        <w:adjustRightInd w:val="0"/>
        <w:snapToGrid w:val="0"/>
        <w:spacing w:line="400" w:lineRule="exact"/>
        <w:rPr>
          <w:rFonts w:hint="eastAsia" w:hAnsi="宋体"/>
          <w:color w:val="auto"/>
          <w:sz w:val="22"/>
          <w:szCs w:val="22"/>
          <w:highlight w:val="none"/>
        </w:rPr>
      </w:pPr>
      <w:r>
        <w:rPr>
          <w:rFonts w:hint="eastAsia" w:hAnsi="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hint="eastAsia"/>
          <w:bCs/>
          <w:color w:val="auto"/>
          <w:sz w:val="22"/>
          <w:szCs w:val="22"/>
          <w:highlight w:val="none"/>
        </w:rPr>
      </w:pPr>
      <w:r>
        <w:rPr>
          <w:rFonts w:hint="eastAsia"/>
          <w:bCs/>
          <w:color w:val="auto"/>
          <w:sz w:val="22"/>
          <w:szCs w:val="22"/>
          <w:highlight w:val="none"/>
        </w:rPr>
        <w:t>二．评标组织</w:t>
      </w:r>
    </w:p>
    <w:p>
      <w:pPr>
        <w:pStyle w:val="13"/>
        <w:adjustRightInd w:val="0"/>
        <w:snapToGrid w:val="0"/>
        <w:spacing w:line="420" w:lineRule="atLeast"/>
        <w:rPr>
          <w:rFonts w:hint="eastAsia" w:hAnsi="宋体"/>
          <w:color w:val="auto"/>
          <w:sz w:val="22"/>
          <w:szCs w:val="22"/>
          <w:highlight w:val="none"/>
        </w:rPr>
      </w:pPr>
      <w:r>
        <w:rPr>
          <w:rFonts w:hint="eastAsia" w:hAnsi="宋体"/>
          <w:color w:val="auto"/>
          <w:sz w:val="22"/>
          <w:szCs w:val="22"/>
          <w:highlight w:val="none"/>
        </w:rPr>
        <w:t>评标工作由采购机构依法组建的评标委员会负责，评标委员会由采购人</w:t>
      </w:r>
      <w:r>
        <w:rPr>
          <w:rFonts w:hAnsi="宋体"/>
          <w:color w:val="auto"/>
          <w:sz w:val="22"/>
          <w:szCs w:val="22"/>
          <w:highlight w:val="none"/>
        </w:rPr>
        <w:t>依法组建，成员人数应当为5人及以上单数，其中评审专家不得少于成员总数的三分之二</w:t>
      </w:r>
      <w:r>
        <w:rPr>
          <w:rFonts w:hint="eastAsia" w:hAnsi="宋体"/>
          <w:color w:val="auto"/>
          <w:sz w:val="22"/>
          <w:szCs w:val="22"/>
          <w:highlight w:val="none"/>
        </w:rPr>
        <w:t>；评审专家确定方式：按相关规定从专家库中抽取。评标全过程由招标管理部门监督整个开标、评标和定标过程。</w:t>
      </w:r>
    </w:p>
    <w:p>
      <w:pPr>
        <w:pStyle w:val="28"/>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hint="eastAsia" w:ascii="宋体" w:hAnsi="宋体"/>
          <w:b w:val="0"/>
          <w:color w:val="auto"/>
          <w:kern w:val="2"/>
          <w:sz w:val="22"/>
          <w:szCs w:val="22"/>
          <w:highlight w:val="none"/>
        </w:rPr>
      </w:pPr>
      <w:r>
        <w:rPr>
          <w:rFonts w:hint="eastAsia" w:ascii="宋体" w:hAnsi="宋体"/>
          <w:b w:val="0"/>
          <w:color w:val="auto"/>
          <w:kern w:val="2"/>
          <w:sz w:val="22"/>
          <w:szCs w:val="22"/>
          <w:highlight w:val="none"/>
        </w:rPr>
        <w:t>三、确定中标供应商办法</w:t>
      </w:r>
    </w:p>
    <w:p>
      <w:pPr>
        <w:pStyle w:val="17"/>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bCs/>
          <w:color w:val="auto"/>
          <w:sz w:val="22"/>
          <w:szCs w:val="22"/>
          <w:highlight w:val="none"/>
        </w:rPr>
        <w:t>评标委员会</w:t>
      </w:r>
      <w:r>
        <w:rPr>
          <w:rFonts w:hint="eastAsia" w:ascii="宋体" w:hAnsi="宋体" w:eastAsia="宋体"/>
          <w:color w:val="auto"/>
          <w:sz w:val="22"/>
          <w:szCs w:val="22"/>
          <w:highlight w:val="none"/>
        </w:rPr>
        <w:t>以商务技术标和报价标合计分值由高到低的顺序</w:t>
      </w:r>
      <w:r>
        <w:rPr>
          <w:rFonts w:hint="eastAsia" w:ascii="宋体" w:hAnsi="宋体" w:eastAsia="宋体"/>
          <w:bCs/>
          <w:color w:val="auto"/>
          <w:sz w:val="22"/>
          <w:szCs w:val="22"/>
          <w:highlight w:val="none"/>
        </w:rPr>
        <w:t>推荐</w:t>
      </w:r>
      <w:r>
        <w:rPr>
          <w:rFonts w:hint="eastAsia" w:ascii="宋体" w:hAnsi="宋体" w:eastAsia="宋体"/>
          <w:color w:val="auto"/>
          <w:sz w:val="22"/>
          <w:szCs w:val="22"/>
          <w:highlight w:val="none"/>
        </w:rPr>
        <w:t>供应商名单，并提交书面评审报告。采购人授权由评标委员会根据评审报告直接确定综合得分第一名的供应商为中标供应商。如果第一名得分相同，以报价低的优先；报价也相同，以抽签决定。</w:t>
      </w:r>
    </w:p>
    <w:p>
      <w:pPr>
        <w:adjustRightInd w:val="0"/>
        <w:snapToGrid w:val="0"/>
        <w:spacing w:line="420" w:lineRule="atLeast"/>
        <w:ind w:firstLine="420"/>
        <w:rPr>
          <w:rFonts w:hint="eastAsia"/>
          <w:color w:val="auto"/>
          <w:highlight w:val="none"/>
        </w:rPr>
      </w:pPr>
      <w:r>
        <w:rPr>
          <w:rFonts w:hint="eastAsia"/>
          <w:color w:val="auto"/>
          <w:sz w:val="22"/>
          <w:szCs w:val="22"/>
          <w:highlight w:val="none"/>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hint="eastAsia"/>
          <w:color w:val="auto"/>
          <w:sz w:val="22"/>
          <w:szCs w:val="22"/>
          <w:highlight w:val="none"/>
        </w:rPr>
      </w:pPr>
      <w:r>
        <w:rPr>
          <w:rFonts w:hint="eastAsia"/>
          <w:b/>
          <w:color w:val="auto"/>
          <w:sz w:val="22"/>
          <w:szCs w:val="22"/>
          <w:highlight w:val="none"/>
        </w:rPr>
        <w:t>其它参见本采购文件第三部分：“供应商须知” 中的相关内容。</w:t>
      </w: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p>
    <w:p>
      <w:pPr>
        <w:pStyle w:val="10"/>
        <w:adjustRightInd w:val="0"/>
        <w:snapToGrid w:val="0"/>
        <w:jc w:val="center"/>
        <w:rPr>
          <w:rFonts w:hint="eastAsia" w:hAnsi="宋体"/>
          <w:b/>
          <w:color w:val="auto"/>
          <w:sz w:val="36"/>
          <w:szCs w:val="36"/>
          <w:highlight w:val="none"/>
        </w:rPr>
      </w:pPr>
      <w:r>
        <w:rPr>
          <w:rFonts w:hint="eastAsia" w:hAnsi="宋体"/>
          <w:b/>
          <w:color w:val="auto"/>
          <w:sz w:val="36"/>
          <w:szCs w:val="36"/>
          <w:highlight w:val="none"/>
        </w:rPr>
        <w:t>评标细则</w:t>
      </w:r>
    </w:p>
    <w:p>
      <w:pPr>
        <w:pStyle w:val="10"/>
        <w:tabs>
          <w:tab w:val="left" w:pos="5325"/>
        </w:tabs>
        <w:adjustRightInd w:val="0"/>
        <w:snapToGrid w:val="0"/>
        <w:spacing w:line="460" w:lineRule="exact"/>
        <w:rPr>
          <w:rFonts w:hint="eastAsia" w:hAnsi="宋体"/>
          <w:b/>
          <w:bCs/>
          <w:color w:val="auto"/>
          <w:sz w:val="22"/>
          <w:szCs w:val="22"/>
          <w:highlight w:val="none"/>
        </w:rPr>
      </w:pPr>
      <w:r>
        <w:rPr>
          <w:rFonts w:hint="eastAsia" w:hAnsi="宋体"/>
          <w:b/>
          <w:bCs/>
          <w:color w:val="auto"/>
          <w:sz w:val="22"/>
          <w:szCs w:val="22"/>
          <w:highlight w:val="none"/>
        </w:rPr>
        <w:t>一、</w:t>
      </w:r>
      <w:r>
        <w:rPr>
          <w:rFonts w:hint="eastAsia" w:hAnsi="宋体"/>
          <w:b/>
          <w:bCs/>
          <w:color w:val="auto"/>
          <w:sz w:val="22"/>
          <w:szCs w:val="22"/>
          <w:highlight w:val="none"/>
          <w:u w:val="single"/>
        </w:rPr>
        <w:t>报价评分</w:t>
      </w:r>
      <w:r>
        <w:rPr>
          <w:rFonts w:hint="eastAsia" w:hAnsi="宋体"/>
          <w:b/>
          <w:bCs/>
          <w:color w:val="auto"/>
          <w:sz w:val="22"/>
          <w:szCs w:val="22"/>
          <w:highlight w:val="none"/>
        </w:rPr>
        <w:t xml:space="preserve">  30分  </w:t>
      </w:r>
      <w:r>
        <w:rPr>
          <w:rFonts w:hAnsi="宋体"/>
          <w:b/>
          <w:bCs/>
          <w:color w:val="auto"/>
          <w:sz w:val="22"/>
          <w:szCs w:val="22"/>
          <w:highlight w:val="none"/>
        </w:rPr>
        <w:tab/>
      </w:r>
    </w:p>
    <w:p>
      <w:pPr>
        <w:pStyle w:val="9"/>
        <w:spacing w:after="0" w:line="460" w:lineRule="exact"/>
        <w:ind w:left="0" w:leftChars="0"/>
        <w:rPr>
          <w:rFonts w:ascii="宋体" w:hAnsi="宋体"/>
          <w:color w:val="auto"/>
          <w:sz w:val="22"/>
          <w:szCs w:val="22"/>
          <w:highlight w:val="none"/>
        </w:rPr>
      </w:pPr>
      <w:r>
        <w:rPr>
          <w:rFonts w:hint="eastAsia" w:ascii="宋体" w:hAnsi="宋体"/>
          <w:color w:val="auto"/>
          <w:sz w:val="22"/>
          <w:szCs w:val="22"/>
          <w:highlight w:val="none"/>
        </w:rPr>
        <w:t>1、以有效投标供应商的有效投标价中的最低价为评标基准价，得满分</w:t>
      </w:r>
      <w:r>
        <w:rPr>
          <w:rFonts w:ascii="宋体" w:hAnsi="宋体"/>
          <w:color w:val="auto"/>
          <w:sz w:val="22"/>
          <w:szCs w:val="22"/>
          <w:highlight w:val="none"/>
        </w:rPr>
        <w:t>3</w:t>
      </w:r>
      <w:r>
        <w:rPr>
          <w:rFonts w:hint="eastAsia" w:ascii="宋体" w:hAnsi="宋体"/>
          <w:color w:val="auto"/>
          <w:sz w:val="22"/>
          <w:szCs w:val="22"/>
          <w:highlight w:val="none"/>
        </w:rPr>
        <w:t>0分。</w:t>
      </w:r>
      <w:r>
        <w:rPr>
          <w:rFonts w:hint="eastAsia" w:ascii="宋体" w:hAnsi="宋体"/>
          <w:bCs/>
          <w:color w:val="auto"/>
          <w:sz w:val="22"/>
          <w:szCs w:val="22"/>
          <w:highlight w:val="none"/>
        </w:rPr>
        <w:t>报价评分</w:t>
      </w:r>
      <w:r>
        <w:rPr>
          <w:rFonts w:hint="eastAsia" w:ascii="宋体" w:hAnsi="宋体"/>
          <w:color w:val="auto"/>
          <w:sz w:val="22"/>
          <w:szCs w:val="22"/>
          <w:highlight w:val="none"/>
        </w:rPr>
        <w:t>结算公式为:报价得分=(评标基准价／投标价)×</w:t>
      </w:r>
      <w:r>
        <w:rPr>
          <w:rFonts w:ascii="宋体" w:hAnsi="宋体"/>
          <w:color w:val="auto"/>
          <w:sz w:val="22"/>
          <w:szCs w:val="22"/>
          <w:highlight w:val="none"/>
        </w:rPr>
        <w:t>3</w:t>
      </w:r>
      <w:r>
        <w:rPr>
          <w:rFonts w:hint="eastAsia" w:ascii="宋体" w:hAnsi="宋体"/>
          <w:color w:val="auto"/>
          <w:sz w:val="22"/>
          <w:szCs w:val="22"/>
          <w:highlight w:val="none"/>
        </w:rPr>
        <w:t>0%×100；</w:t>
      </w:r>
    </w:p>
    <w:p>
      <w:pPr>
        <w:pStyle w:val="9"/>
        <w:spacing w:after="0" w:line="460" w:lineRule="exact"/>
        <w:ind w:left="0" w:leftChars="0"/>
        <w:rPr>
          <w:rFonts w:hint="eastAsia" w:ascii="宋体" w:hAnsi="宋体"/>
          <w:color w:val="auto"/>
          <w:sz w:val="22"/>
          <w:szCs w:val="22"/>
          <w:highlight w:val="none"/>
        </w:rPr>
      </w:pPr>
      <w:r>
        <w:rPr>
          <w:rFonts w:hint="eastAsia" w:ascii="宋体" w:hAnsi="宋体"/>
          <w:color w:val="auto"/>
          <w:sz w:val="22"/>
          <w:szCs w:val="22"/>
          <w:highlight w:val="none"/>
        </w:rPr>
        <w:t>2、如果某些（个）供应商投标报价超出该采购最高限价，该供应商投标按无效投标处理。</w:t>
      </w:r>
    </w:p>
    <w:tbl>
      <w:tblPr>
        <w:tblStyle w:val="21"/>
        <w:tblW w:w="9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785"/>
        <w:gridCol w:w="6354"/>
        <w:gridCol w:w="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720" w:type="dxa"/>
            <w:tcBorders>
              <w:top w:val="single" w:color="auto" w:sz="4" w:space="0"/>
              <w:left w:val="single" w:color="auto" w:sz="4" w:space="0"/>
              <w:right w:val="single" w:color="auto" w:sz="4" w:space="0"/>
            </w:tcBorders>
            <w:noWrap w:val="0"/>
            <w:vAlign w:val="center"/>
          </w:tcPr>
          <w:p>
            <w:pPr>
              <w:widowControl/>
              <w:spacing w:line="240" w:lineRule="auto"/>
              <w:jc w:val="center"/>
              <w:rPr>
                <w:rFonts w:hint="eastAsia" w:ascii="宋体" w:cs="宋体"/>
                <w:color w:val="auto"/>
                <w:sz w:val="22"/>
                <w:highlight w:val="none"/>
              </w:rPr>
            </w:pPr>
            <w:r>
              <w:rPr>
                <w:rFonts w:hint="eastAsia" w:ascii="宋体" w:cs="宋体"/>
                <w:color w:val="auto"/>
                <w:sz w:val="22"/>
                <w:highlight w:val="none"/>
              </w:rPr>
              <w:t>序号</w:t>
            </w:r>
          </w:p>
        </w:tc>
        <w:tc>
          <w:tcPr>
            <w:tcW w:w="1785" w:type="dxa"/>
            <w:tcBorders>
              <w:top w:val="single" w:color="auto" w:sz="4" w:space="0"/>
              <w:left w:val="single" w:color="auto" w:sz="4" w:space="0"/>
              <w:right w:val="single" w:color="auto" w:sz="4" w:space="0"/>
            </w:tcBorders>
            <w:noWrap w:val="0"/>
            <w:vAlign w:val="center"/>
          </w:tcPr>
          <w:p>
            <w:pPr>
              <w:widowControl/>
              <w:spacing w:line="240" w:lineRule="auto"/>
              <w:jc w:val="center"/>
              <w:rPr>
                <w:rFonts w:hint="eastAsia" w:ascii="宋体" w:cs="宋体"/>
                <w:color w:val="auto"/>
                <w:sz w:val="22"/>
                <w:highlight w:val="none"/>
              </w:rPr>
            </w:pPr>
            <w:r>
              <w:rPr>
                <w:rFonts w:hint="eastAsia" w:ascii="宋体" w:cs="宋体"/>
                <w:color w:val="auto"/>
                <w:sz w:val="22"/>
                <w:highlight w:val="none"/>
              </w:rPr>
              <w:t>评分项目</w:t>
            </w:r>
          </w:p>
        </w:tc>
        <w:tc>
          <w:tcPr>
            <w:tcW w:w="6354" w:type="dxa"/>
            <w:tcBorders>
              <w:top w:val="single" w:color="auto" w:sz="4" w:space="0"/>
              <w:left w:val="single" w:color="auto" w:sz="4" w:space="0"/>
              <w:right w:val="single" w:color="auto" w:sz="4" w:space="0"/>
            </w:tcBorders>
            <w:noWrap w:val="0"/>
            <w:vAlign w:val="center"/>
          </w:tcPr>
          <w:p>
            <w:pPr>
              <w:snapToGrid w:val="0"/>
              <w:spacing w:line="240" w:lineRule="auto"/>
              <w:jc w:val="center"/>
              <w:rPr>
                <w:rFonts w:hint="eastAsia" w:ascii="宋体"/>
                <w:color w:val="auto"/>
                <w:sz w:val="22"/>
                <w:highlight w:val="none"/>
              </w:rPr>
            </w:pPr>
            <w:r>
              <w:rPr>
                <w:rFonts w:hint="eastAsia" w:ascii="宋体"/>
                <w:color w:val="auto"/>
                <w:sz w:val="22"/>
                <w:highlight w:val="none"/>
              </w:rPr>
              <w:t>评分标准</w:t>
            </w:r>
          </w:p>
        </w:tc>
        <w:tc>
          <w:tcPr>
            <w:tcW w:w="972" w:type="dxa"/>
            <w:tcBorders>
              <w:top w:val="single" w:color="auto" w:sz="4" w:space="0"/>
              <w:left w:val="single" w:color="auto" w:sz="4" w:space="0"/>
              <w:right w:val="single" w:color="auto" w:sz="4" w:space="0"/>
            </w:tcBorders>
            <w:noWrap w:val="0"/>
            <w:vAlign w:val="center"/>
          </w:tcPr>
          <w:p>
            <w:pPr>
              <w:autoSpaceDE w:val="0"/>
              <w:autoSpaceDN w:val="0"/>
              <w:adjustRightInd w:val="0"/>
              <w:spacing w:line="240" w:lineRule="auto"/>
              <w:jc w:val="center"/>
              <w:rPr>
                <w:rFonts w:hint="eastAsia" w:ascii="宋体" w:cs="宋体"/>
                <w:color w:val="auto"/>
                <w:sz w:val="22"/>
                <w:highlight w:val="none"/>
              </w:rPr>
            </w:pPr>
            <w:r>
              <w:rPr>
                <w:rFonts w:hint="eastAsia" w:ascii="宋体" w:cs="宋体"/>
                <w:color w:val="auto"/>
                <w:sz w:val="22"/>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20" w:type="dxa"/>
            <w:tcBorders>
              <w:left w:val="single" w:color="auto" w:sz="4" w:space="0"/>
              <w:right w:val="single" w:color="auto" w:sz="4" w:space="0"/>
            </w:tcBorders>
            <w:noWrap w:val="0"/>
            <w:vAlign w:val="center"/>
          </w:tcPr>
          <w:p>
            <w:pPr>
              <w:pStyle w:val="9"/>
              <w:adjustRightInd w:val="0"/>
              <w:snapToGrid w:val="0"/>
              <w:spacing w:line="240" w:lineRule="auto"/>
              <w:ind w:left="0" w:leftChars="0" w:firstLine="0" w:firstLineChars="0"/>
              <w:jc w:val="center"/>
              <w:rPr>
                <w:rFonts w:hint="eastAsia"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1</w:t>
            </w:r>
          </w:p>
        </w:tc>
        <w:tc>
          <w:tcPr>
            <w:tcW w:w="1785" w:type="dxa"/>
            <w:tcBorders>
              <w:left w:val="single" w:color="auto" w:sz="4" w:space="0"/>
              <w:right w:val="single" w:color="auto" w:sz="4" w:space="0"/>
            </w:tcBorders>
            <w:noWrap w:val="0"/>
            <w:vAlign w:val="center"/>
          </w:tcPr>
          <w:p>
            <w:pPr>
              <w:pStyle w:val="9"/>
              <w:spacing w:after="0" w:line="240" w:lineRule="auto"/>
              <w:ind w:left="0" w:leftChars="0"/>
              <w:jc w:val="center"/>
              <w:rPr>
                <w:rFonts w:hint="eastAsia"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val="en-US" w:eastAsia="zh-CN"/>
              </w:rPr>
              <w:t>体系认证</w:t>
            </w:r>
          </w:p>
          <w:p>
            <w:pPr>
              <w:pStyle w:val="9"/>
              <w:spacing w:after="0" w:line="240" w:lineRule="auto"/>
              <w:ind w:left="0" w:leftChars="0"/>
              <w:jc w:val="center"/>
              <w:rPr>
                <w:rFonts w:hint="eastAsia"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val="en-US" w:eastAsia="zh-CN"/>
              </w:rPr>
              <w:t>（4分）</w:t>
            </w: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1、</w:t>
            </w:r>
            <w:r>
              <w:rPr>
                <w:rFonts w:hint="eastAsia" w:ascii="宋体" w:hAnsi="宋体" w:cs="宋体"/>
                <w:color w:val="auto"/>
                <w:kern w:val="0"/>
                <w:sz w:val="22"/>
                <w:szCs w:val="22"/>
                <w:highlight w:val="none"/>
              </w:rPr>
              <w:t>投标人</w:t>
            </w:r>
            <w:r>
              <w:rPr>
                <w:rFonts w:hint="eastAsia" w:cs="宋体"/>
                <w:color w:val="auto"/>
                <w:kern w:val="0"/>
                <w:sz w:val="22"/>
                <w:szCs w:val="22"/>
                <w:highlight w:val="none"/>
                <w:lang w:val="en-US" w:eastAsia="zh-CN"/>
              </w:rPr>
              <w:t>具有有效期内</w:t>
            </w:r>
            <w:r>
              <w:rPr>
                <w:rFonts w:hint="eastAsia" w:ascii="宋体" w:hAnsi="宋体" w:cs="宋体"/>
                <w:color w:val="auto"/>
                <w:kern w:val="0"/>
                <w:sz w:val="22"/>
                <w:szCs w:val="22"/>
                <w:highlight w:val="none"/>
              </w:rPr>
              <w:t>ISO9001</w:t>
            </w:r>
            <w:r>
              <w:rPr>
                <w:rFonts w:hint="eastAsia" w:cs="宋体"/>
                <w:color w:val="auto"/>
                <w:kern w:val="0"/>
                <w:sz w:val="22"/>
                <w:szCs w:val="22"/>
                <w:highlight w:val="none"/>
                <w:lang w:val="en-US" w:eastAsia="zh-CN"/>
              </w:rPr>
              <w:t>质量体系认证</w:t>
            </w:r>
            <w:r>
              <w:rPr>
                <w:rFonts w:hint="eastAsia" w:ascii="宋体" w:hAnsi="宋体" w:cs="宋体"/>
                <w:color w:val="auto"/>
                <w:kern w:val="0"/>
                <w:sz w:val="22"/>
                <w:szCs w:val="22"/>
                <w:highlight w:val="none"/>
                <w:lang w:eastAsia="zh-CN"/>
              </w:rPr>
              <w:t>，</w:t>
            </w:r>
            <w:r>
              <w:rPr>
                <w:rFonts w:hint="eastAsia" w:cs="宋体"/>
                <w:color w:val="auto"/>
                <w:kern w:val="0"/>
                <w:sz w:val="22"/>
                <w:szCs w:val="22"/>
                <w:highlight w:val="none"/>
                <w:lang w:val="en-US" w:eastAsia="zh-CN"/>
              </w:rPr>
              <w:t>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2、投标人具有有效期内</w:t>
            </w:r>
            <w:r>
              <w:rPr>
                <w:rFonts w:hint="eastAsia" w:ascii="宋体" w:hAnsi="宋体" w:cs="宋体"/>
                <w:color w:val="auto"/>
                <w:kern w:val="0"/>
                <w:sz w:val="22"/>
                <w:szCs w:val="22"/>
                <w:highlight w:val="none"/>
              </w:rPr>
              <w:t>ISO20000/IEC信息服务管理体系认证</w:t>
            </w:r>
            <w:r>
              <w:rPr>
                <w:rFonts w:hint="eastAsia" w:cs="宋体"/>
                <w:color w:val="auto"/>
                <w:kern w:val="0"/>
                <w:sz w:val="22"/>
                <w:szCs w:val="22"/>
                <w:highlight w:val="none"/>
                <w:lang w:eastAsia="zh-CN"/>
              </w:rPr>
              <w:t>，</w:t>
            </w:r>
            <w:r>
              <w:rPr>
                <w:rFonts w:hint="eastAsia" w:cs="宋体"/>
                <w:color w:val="auto"/>
                <w:kern w:val="0"/>
                <w:sz w:val="22"/>
                <w:szCs w:val="22"/>
                <w:highlight w:val="none"/>
                <w:lang w:val="en-US" w:eastAsia="zh-CN"/>
              </w:rPr>
              <w:t>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3、投标人具有有效期内</w:t>
            </w:r>
            <w:r>
              <w:rPr>
                <w:rFonts w:hint="eastAsia" w:ascii="宋体" w:hAnsi="宋体" w:cs="宋体"/>
                <w:color w:val="auto"/>
                <w:kern w:val="0"/>
                <w:sz w:val="22"/>
                <w:szCs w:val="22"/>
                <w:highlight w:val="none"/>
              </w:rPr>
              <w:t>ISO/IEC27001信息安全管理体系认证，</w:t>
            </w:r>
            <w:r>
              <w:rPr>
                <w:rFonts w:hint="eastAsia" w:cs="宋体"/>
                <w:color w:val="auto"/>
                <w:kern w:val="0"/>
                <w:sz w:val="22"/>
                <w:szCs w:val="22"/>
                <w:highlight w:val="none"/>
                <w:lang w:val="en-US" w:eastAsia="zh-CN"/>
              </w:rPr>
              <w:t>得</w:t>
            </w:r>
            <w:r>
              <w:rPr>
                <w:rFonts w:hint="eastAsia" w:ascii="宋体" w:hAnsi="宋体" w:cs="宋体"/>
                <w:color w:val="auto"/>
                <w:kern w:val="0"/>
                <w:sz w:val="22"/>
                <w:szCs w:val="22"/>
                <w:highlight w:val="none"/>
                <w:lang w:val="en-US" w:eastAsia="zh-CN"/>
              </w:rPr>
              <w:t>1</w:t>
            </w:r>
            <w:r>
              <w:rPr>
                <w:rFonts w:hint="eastAsia" w:cs="宋体"/>
                <w:color w:val="auto"/>
                <w:kern w:val="0"/>
                <w:sz w:val="22"/>
                <w:szCs w:val="22"/>
                <w:highlight w:val="none"/>
                <w:lang w:val="en-US" w:eastAsia="zh-CN"/>
              </w:rPr>
              <w:t>分；</w:t>
            </w:r>
          </w:p>
          <w:p>
            <w:pPr>
              <w:pStyle w:val="2"/>
              <w:rPr>
                <w:rFonts w:hint="eastAsia" w:ascii="宋体" w:hAnsi="宋体" w:cs="宋体"/>
                <w:color w:val="auto"/>
                <w:kern w:val="0"/>
                <w:sz w:val="22"/>
                <w:szCs w:val="22"/>
                <w:highlight w:val="none"/>
              </w:rPr>
            </w:pPr>
            <w:r>
              <w:rPr>
                <w:rFonts w:hint="eastAsia" w:cs="宋体"/>
                <w:color w:val="auto"/>
                <w:kern w:val="0"/>
                <w:sz w:val="22"/>
                <w:szCs w:val="22"/>
                <w:highlight w:val="none"/>
                <w:lang w:val="en-US" w:eastAsia="zh-CN"/>
              </w:rPr>
              <w:t>4.投标人具有有效期内CMMI软件成熟度认证（叁级及以上），得1分。</w:t>
            </w:r>
          </w:p>
          <w:p>
            <w:pPr>
              <w:adjustRightInd w:val="0"/>
              <w:snapToGrid w:val="0"/>
              <w:spacing w:line="240" w:lineRule="auto"/>
              <w:ind w:right="29" w:rightChars="12"/>
              <w:jc w:val="both"/>
              <w:rPr>
                <w:rFonts w:hint="eastAsia" w:ascii="宋体" w:hAnsi="宋体" w:eastAsia="宋体" w:cs="宋体"/>
                <w:color w:val="auto"/>
                <w:kern w:val="0"/>
                <w:sz w:val="22"/>
                <w:szCs w:val="22"/>
                <w:highlight w:val="none"/>
                <w:lang w:eastAsia="zh-CN"/>
              </w:rPr>
            </w:pPr>
            <w:r>
              <w:rPr>
                <w:rFonts w:hint="eastAsia" w:ascii="宋体" w:hAnsi="宋体" w:cs="宋体"/>
                <w:b/>
                <w:bCs/>
                <w:color w:val="auto"/>
                <w:kern w:val="0"/>
                <w:sz w:val="22"/>
                <w:szCs w:val="22"/>
                <w:highlight w:val="none"/>
                <w:lang w:val="en-US" w:eastAsia="zh-CN"/>
              </w:rPr>
              <w:t>注：须提供复印件加盖有效公章，不提供不得分。</w:t>
            </w:r>
          </w:p>
        </w:tc>
        <w:tc>
          <w:tcPr>
            <w:tcW w:w="972" w:type="dxa"/>
            <w:tcBorders>
              <w:top w:val="single" w:color="auto" w:sz="4" w:space="0"/>
              <w:left w:val="single" w:color="auto" w:sz="4" w:space="0"/>
              <w:right w:val="single" w:color="auto" w:sz="4" w:space="0"/>
            </w:tcBorders>
            <w:noWrap w:val="0"/>
            <w:vAlign w:val="center"/>
          </w:tcPr>
          <w:p>
            <w:pPr>
              <w:pStyle w:val="9"/>
              <w:adjustRightInd w:val="0"/>
              <w:snapToGrid w:val="0"/>
              <w:spacing w:line="240" w:lineRule="auto"/>
              <w:ind w:left="0" w:leftChars="0" w:firstLine="0" w:firstLineChars="0"/>
              <w:jc w:val="center"/>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20" w:type="dxa"/>
            <w:tcBorders>
              <w:left w:val="single" w:color="auto" w:sz="4" w:space="0"/>
              <w:right w:val="single" w:color="auto" w:sz="4" w:space="0"/>
            </w:tcBorders>
            <w:noWrap w:val="0"/>
            <w:vAlign w:val="center"/>
          </w:tcPr>
          <w:p>
            <w:pPr>
              <w:pStyle w:val="9"/>
              <w:adjustRightInd w:val="0"/>
              <w:snapToGrid w:val="0"/>
              <w:spacing w:line="240" w:lineRule="auto"/>
              <w:ind w:left="0" w:leftChars="0" w:firstLine="0" w:firstLineChars="0"/>
              <w:jc w:val="center"/>
              <w:rPr>
                <w:rFonts w:hint="eastAsia" w:ascii="宋体" w:hAnsi="宋体" w:cs="宋体"/>
                <w:b w:val="0"/>
                <w:bCs w:val="0"/>
                <w:color w:val="auto"/>
                <w:kern w:val="0"/>
                <w:sz w:val="22"/>
                <w:szCs w:val="22"/>
                <w:highlight w:val="none"/>
              </w:rPr>
            </w:pPr>
            <w:r>
              <w:rPr>
                <w:rFonts w:hint="eastAsia" w:ascii="宋体" w:hAnsi="宋体" w:cs="宋体"/>
                <w:b w:val="0"/>
                <w:bCs w:val="0"/>
                <w:color w:val="auto"/>
                <w:kern w:val="0"/>
                <w:sz w:val="22"/>
                <w:szCs w:val="22"/>
                <w:highlight w:val="none"/>
              </w:rPr>
              <w:t>2</w:t>
            </w:r>
          </w:p>
        </w:tc>
        <w:tc>
          <w:tcPr>
            <w:tcW w:w="1785" w:type="dxa"/>
            <w:tcBorders>
              <w:left w:val="single" w:color="auto" w:sz="4" w:space="0"/>
              <w:right w:val="single" w:color="auto" w:sz="4" w:space="0"/>
            </w:tcBorders>
            <w:noWrap w:val="0"/>
            <w:vAlign w:val="center"/>
          </w:tcPr>
          <w:p>
            <w:pPr>
              <w:pStyle w:val="9"/>
              <w:spacing w:after="0" w:line="240" w:lineRule="auto"/>
              <w:ind w:left="0" w:leftChars="0"/>
              <w:jc w:val="center"/>
              <w:rPr>
                <w:rFonts w:hint="eastAsia" w:ascii="宋体" w:hAnsi="宋体"/>
                <w:b w:val="0"/>
                <w:bCs w:val="0"/>
                <w:color w:val="auto"/>
                <w:sz w:val="22"/>
                <w:szCs w:val="22"/>
                <w:highlight w:val="none"/>
              </w:rPr>
            </w:pPr>
            <w:r>
              <w:rPr>
                <w:rFonts w:hint="eastAsia" w:ascii="宋体" w:hAnsi="宋体"/>
                <w:b w:val="0"/>
                <w:bCs w:val="0"/>
                <w:color w:val="auto"/>
                <w:sz w:val="22"/>
                <w:szCs w:val="22"/>
                <w:highlight w:val="none"/>
                <w:lang w:val="en-US" w:eastAsia="zh-CN"/>
              </w:rPr>
              <w:t>类似业绩</w:t>
            </w:r>
            <w:r>
              <w:rPr>
                <w:rFonts w:hint="eastAsia" w:ascii="宋体" w:hAnsi="宋体"/>
                <w:b w:val="0"/>
                <w:bCs w:val="0"/>
                <w:color w:val="auto"/>
                <w:sz w:val="22"/>
                <w:szCs w:val="22"/>
                <w:highlight w:val="none"/>
              </w:rPr>
              <w:t>（</w:t>
            </w:r>
            <w:r>
              <w:rPr>
                <w:rFonts w:hint="eastAsia" w:ascii="宋体" w:hAnsi="宋体"/>
                <w:b w:val="0"/>
                <w:bCs w:val="0"/>
                <w:color w:val="auto"/>
                <w:sz w:val="22"/>
                <w:szCs w:val="22"/>
                <w:highlight w:val="none"/>
                <w:lang w:val="en-US" w:eastAsia="zh-CN"/>
              </w:rPr>
              <w:t>8</w:t>
            </w:r>
            <w:r>
              <w:rPr>
                <w:rFonts w:hint="eastAsia" w:ascii="宋体" w:hAnsi="宋体"/>
                <w:b w:val="0"/>
                <w:bCs w:val="0"/>
                <w:color w:val="auto"/>
                <w:sz w:val="22"/>
                <w:szCs w:val="22"/>
                <w:highlight w:val="none"/>
              </w:rPr>
              <w:t>分）</w:t>
            </w: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投标人</w:t>
            </w:r>
            <w:r>
              <w:rPr>
                <w:rFonts w:hint="eastAsia" w:cs="宋体"/>
                <w:color w:val="auto"/>
                <w:kern w:val="0"/>
                <w:sz w:val="22"/>
                <w:szCs w:val="22"/>
                <w:highlight w:val="none"/>
                <w:lang w:val="en-US" w:eastAsia="zh-CN"/>
              </w:rPr>
              <w:t>自</w:t>
            </w:r>
            <w:r>
              <w:rPr>
                <w:rFonts w:hint="eastAsia" w:ascii="宋体" w:hAnsi="宋体" w:cs="宋体"/>
                <w:color w:val="auto"/>
                <w:kern w:val="0"/>
                <w:sz w:val="22"/>
                <w:szCs w:val="22"/>
                <w:highlight w:val="none"/>
              </w:rPr>
              <w:t>2017年1月1日以来</w:t>
            </w:r>
            <w:r>
              <w:rPr>
                <w:rFonts w:hint="eastAsia" w:ascii="宋体" w:hAnsi="宋体" w:cs="宋体"/>
                <w:color w:val="auto"/>
                <w:kern w:val="0"/>
                <w:sz w:val="22"/>
                <w:szCs w:val="22"/>
                <w:highlight w:val="none"/>
                <w:lang w:val="en-US" w:eastAsia="zh-CN"/>
              </w:rPr>
              <w:t>已完工的类似</w:t>
            </w:r>
            <w:r>
              <w:rPr>
                <w:rFonts w:hint="eastAsia" w:ascii="宋体" w:hAnsi="宋体" w:cs="宋体"/>
                <w:color w:val="auto"/>
                <w:kern w:val="0"/>
                <w:sz w:val="22"/>
                <w:szCs w:val="22"/>
                <w:highlight w:val="none"/>
              </w:rPr>
              <w:t>业绩</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每提供一个业绩</w:t>
            </w:r>
            <w:r>
              <w:rPr>
                <w:rFonts w:hint="eastAsia" w:ascii="宋体" w:hAnsi="宋体" w:cs="宋体"/>
                <w:color w:val="auto"/>
                <w:kern w:val="0"/>
                <w:sz w:val="22"/>
                <w:szCs w:val="22"/>
                <w:highlight w:val="none"/>
              </w:rPr>
              <w:t>得</w:t>
            </w:r>
            <w:r>
              <w:rPr>
                <w:rFonts w:hint="eastAsia" w:ascii="宋体" w:hAnsi="宋体" w:cs="宋体"/>
                <w:color w:val="auto"/>
                <w:kern w:val="0"/>
                <w:sz w:val="22"/>
                <w:szCs w:val="22"/>
                <w:highlight w:val="none"/>
                <w:lang w:val="en-US" w:eastAsia="zh-CN"/>
              </w:rPr>
              <w:t>2</w:t>
            </w:r>
            <w:r>
              <w:rPr>
                <w:rFonts w:hint="eastAsia" w:ascii="宋体" w:hAnsi="宋体" w:cs="宋体"/>
                <w:color w:val="auto"/>
                <w:kern w:val="0"/>
                <w:sz w:val="22"/>
                <w:szCs w:val="22"/>
                <w:highlight w:val="none"/>
              </w:rPr>
              <w:t>分，</w:t>
            </w:r>
            <w:r>
              <w:rPr>
                <w:rFonts w:hint="eastAsia" w:cs="宋体"/>
                <w:color w:val="auto"/>
                <w:kern w:val="0"/>
                <w:sz w:val="22"/>
                <w:szCs w:val="22"/>
                <w:highlight w:val="none"/>
                <w:lang w:val="en-US" w:eastAsia="zh-CN"/>
              </w:rPr>
              <w:t>本项最高可得8</w:t>
            </w:r>
            <w:r>
              <w:rPr>
                <w:rFonts w:hint="eastAsia" w:ascii="宋体" w:hAnsi="宋体" w:cs="宋体"/>
                <w:color w:val="auto"/>
                <w:kern w:val="0"/>
                <w:sz w:val="22"/>
                <w:szCs w:val="22"/>
                <w:highlight w:val="none"/>
              </w:rPr>
              <w:t>分。</w:t>
            </w:r>
          </w:p>
          <w:p>
            <w:pPr>
              <w:adjustRightInd w:val="0"/>
              <w:snapToGrid w:val="0"/>
              <w:spacing w:line="240" w:lineRule="auto"/>
              <w:ind w:right="29" w:rightChars="12"/>
              <w:jc w:val="both"/>
              <w:rPr>
                <w:rFonts w:hint="eastAsia" w:ascii="宋体" w:hAnsi="宋体" w:cs="宋体"/>
                <w:color w:val="auto"/>
                <w:kern w:val="0"/>
                <w:sz w:val="22"/>
                <w:szCs w:val="22"/>
                <w:highlight w:val="none"/>
              </w:rPr>
            </w:pPr>
            <w:r>
              <w:rPr>
                <w:rFonts w:hint="eastAsia" w:ascii="宋体" w:hAnsi="宋体" w:cs="宋体"/>
                <w:b/>
                <w:bCs/>
                <w:color w:val="auto"/>
                <w:kern w:val="0"/>
                <w:sz w:val="22"/>
                <w:szCs w:val="22"/>
                <w:highlight w:val="none"/>
                <w:lang w:val="en-US" w:eastAsia="zh-CN"/>
              </w:rPr>
              <w:t>注：须</w:t>
            </w:r>
            <w:r>
              <w:rPr>
                <w:rFonts w:hint="eastAsia" w:ascii="宋体" w:hAnsi="宋体" w:cs="宋体"/>
                <w:b/>
                <w:bCs/>
                <w:color w:val="auto"/>
                <w:kern w:val="0"/>
                <w:sz w:val="22"/>
                <w:szCs w:val="22"/>
                <w:highlight w:val="none"/>
              </w:rPr>
              <w:t>提供</w:t>
            </w:r>
            <w:r>
              <w:rPr>
                <w:rFonts w:hint="eastAsia" w:ascii="宋体" w:hAnsi="宋体" w:cs="宋体"/>
                <w:b/>
                <w:bCs/>
                <w:color w:val="auto"/>
                <w:kern w:val="0"/>
                <w:sz w:val="22"/>
                <w:szCs w:val="22"/>
                <w:highlight w:val="none"/>
                <w:lang w:val="en-US" w:eastAsia="zh-CN"/>
              </w:rPr>
              <w:t>已完工验收报告及</w:t>
            </w:r>
            <w:r>
              <w:rPr>
                <w:rFonts w:hint="eastAsia" w:ascii="宋体" w:hAnsi="宋体" w:cs="宋体"/>
                <w:b/>
                <w:bCs/>
                <w:color w:val="auto"/>
                <w:kern w:val="0"/>
                <w:sz w:val="22"/>
                <w:szCs w:val="22"/>
                <w:highlight w:val="none"/>
              </w:rPr>
              <w:t>合同复印件加盖公章</w:t>
            </w:r>
            <w:r>
              <w:rPr>
                <w:rFonts w:hint="eastAsia" w:cs="宋体"/>
                <w:b/>
                <w:bCs/>
                <w:color w:val="auto"/>
                <w:kern w:val="0"/>
                <w:sz w:val="22"/>
                <w:szCs w:val="22"/>
                <w:highlight w:val="none"/>
                <w:lang w:eastAsia="zh-CN"/>
              </w:rPr>
              <w:t>，</w:t>
            </w:r>
            <w:r>
              <w:rPr>
                <w:rFonts w:hint="eastAsia" w:cs="宋体"/>
                <w:b/>
                <w:bCs/>
                <w:color w:val="auto"/>
                <w:kern w:val="0"/>
                <w:sz w:val="22"/>
                <w:szCs w:val="22"/>
                <w:highlight w:val="none"/>
                <w:lang w:val="en-US" w:eastAsia="zh-CN"/>
              </w:rPr>
              <w:t>不提供不得分</w:t>
            </w:r>
            <w:r>
              <w:rPr>
                <w:rFonts w:hint="eastAsia" w:ascii="宋体" w:hAnsi="宋体" w:cs="宋体"/>
                <w:b/>
                <w:bCs/>
                <w:color w:val="auto"/>
                <w:kern w:val="0"/>
                <w:sz w:val="22"/>
                <w:szCs w:val="22"/>
                <w:highlight w:val="none"/>
              </w:rPr>
              <w:t>。</w:t>
            </w:r>
          </w:p>
        </w:tc>
        <w:tc>
          <w:tcPr>
            <w:tcW w:w="972" w:type="dxa"/>
            <w:tcBorders>
              <w:top w:val="single" w:color="auto" w:sz="4" w:space="0"/>
              <w:left w:val="single" w:color="auto" w:sz="4" w:space="0"/>
              <w:right w:val="single" w:color="auto" w:sz="4" w:space="0"/>
            </w:tcBorders>
            <w:noWrap w:val="0"/>
            <w:vAlign w:val="center"/>
          </w:tcPr>
          <w:p>
            <w:pPr>
              <w:pStyle w:val="9"/>
              <w:adjustRightInd w:val="0"/>
              <w:snapToGrid w:val="0"/>
              <w:spacing w:line="240" w:lineRule="auto"/>
              <w:ind w:left="0" w:leftChars="0" w:firstLine="0" w:firstLineChars="0"/>
              <w:jc w:val="center"/>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0-8分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vMerge w:val="restart"/>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r>
              <w:rPr>
                <w:rFonts w:hint="eastAsia" w:ascii="宋体" w:cs="宋体"/>
                <w:b w:val="0"/>
                <w:bCs w:val="0"/>
                <w:color w:val="auto"/>
                <w:sz w:val="22"/>
                <w:highlight w:val="none"/>
              </w:rPr>
              <w:t>3</w:t>
            </w:r>
          </w:p>
        </w:tc>
        <w:tc>
          <w:tcPr>
            <w:tcW w:w="1785" w:type="dxa"/>
            <w:vMerge w:val="restart"/>
            <w:tcBorders>
              <w:left w:val="single" w:color="auto" w:sz="4" w:space="0"/>
              <w:right w:val="single" w:color="auto" w:sz="4" w:space="0"/>
            </w:tcBorders>
            <w:noWrap w:val="0"/>
            <w:vAlign w:val="center"/>
          </w:tcPr>
          <w:p>
            <w:pPr>
              <w:pStyle w:val="9"/>
              <w:spacing w:after="0" w:line="240" w:lineRule="auto"/>
              <w:ind w:left="0" w:leftChars="0"/>
              <w:jc w:val="center"/>
              <w:rPr>
                <w:rFonts w:hint="eastAsia"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val="en-US" w:eastAsia="zh-CN"/>
              </w:rPr>
              <w:t>现场系统演示（15分）</w:t>
            </w:r>
          </w:p>
          <w:p>
            <w:pPr>
              <w:pStyle w:val="9"/>
              <w:spacing w:after="0" w:line="240" w:lineRule="auto"/>
              <w:ind w:left="0" w:leftChars="0"/>
              <w:jc w:val="center"/>
              <w:rPr>
                <w:rFonts w:hint="eastAsia"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val="en-US" w:eastAsia="zh-CN"/>
              </w:rPr>
              <w:t>（注：本项投标人须</w:t>
            </w:r>
            <w:r>
              <w:rPr>
                <w:rFonts w:hint="eastAsia" w:cs="宋体"/>
                <w:b w:val="0"/>
                <w:bCs w:val="0"/>
                <w:color w:val="auto"/>
                <w:kern w:val="0"/>
                <w:sz w:val="22"/>
                <w:szCs w:val="22"/>
                <w:highlight w:val="none"/>
                <w:lang w:val="en-US" w:eastAsia="zh-CN"/>
              </w:rPr>
              <w:t>按照功能模块现场</w:t>
            </w:r>
            <w:r>
              <w:rPr>
                <w:rFonts w:hint="eastAsia" w:ascii="宋体" w:hAnsi="宋体"/>
                <w:b w:val="0"/>
                <w:bCs w:val="0"/>
                <w:color w:val="auto"/>
                <w:sz w:val="22"/>
                <w:szCs w:val="22"/>
                <w:highlight w:val="none"/>
                <w:lang w:val="en-US" w:eastAsia="zh-CN"/>
              </w:rPr>
              <w:t>提供项目实例或软件原型演示，不提供不得分。</w:t>
            </w:r>
            <w:r>
              <w:rPr>
                <w:rFonts w:hint="eastAsia" w:cs="宋体"/>
                <w:b w:val="0"/>
                <w:bCs w:val="0"/>
                <w:color w:val="auto"/>
                <w:kern w:val="0"/>
                <w:sz w:val="22"/>
                <w:szCs w:val="22"/>
                <w:highlight w:val="none"/>
                <w:lang w:val="en-US" w:eastAsia="zh-CN"/>
              </w:rPr>
              <w:t>演示时间不得超过15分钟，超时停止。上述功能在同一平台演示体现</w:t>
            </w:r>
            <w:r>
              <w:rPr>
                <w:rFonts w:hint="eastAsia" w:ascii="宋体" w:hAnsi="宋体"/>
                <w:b w:val="0"/>
                <w:bCs w:val="0"/>
                <w:color w:val="auto"/>
                <w:sz w:val="22"/>
                <w:szCs w:val="22"/>
                <w:highlight w:val="none"/>
                <w:lang w:val="en-US" w:eastAsia="zh-CN"/>
              </w:rPr>
              <w:t>）</w:t>
            </w:r>
          </w:p>
          <w:p>
            <w:pPr>
              <w:pStyle w:val="9"/>
              <w:spacing w:after="0" w:line="240" w:lineRule="auto"/>
              <w:ind w:left="0" w:leftChars="0"/>
              <w:jc w:val="center"/>
              <w:rPr>
                <w:rFonts w:hint="default" w:ascii="宋体" w:hAnsi="宋体"/>
                <w:b w:val="0"/>
                <w:bCs w:val="0"/>
                <w:color w:val="auto"/>
                <w:sz w:val="22"/>
                <w:szCs w:val="22"/>
                <w:highlight w:val="none"/>
                <w:lang w:val="en-US" w:eastAsia="zh-CN"/>
              </w:rPr>
            </w:pPr>
          </w:p>
          <w:p>
            <w:pPr>
              <w:pStyle w:val="9"/>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1、医院能源消耗总览：（4分）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（1）演示功能点具有当年、当月、当日水、电能耗，得1分；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（2）演示功能点具有当日医院水、电消耗量变化趋势，得1分；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（3）演示功能点具有医院KPI能耗指标：建筑面积能耗，单床能耗，得1分；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（4）演示功能点具有医院内建筑及科室能耗排名，得1分。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center"/>
              <w:rPr>
                <w:rFonts w:hint="default" w:ascii="宋体" w:eastAsia="宋体" w:cs="宋体"/>
                <w:color w:val="auto"/>
                <w:sz w:val="22"/>
                <w:highlight w:val="none"/>
                <w:lang w:val="en-US" w:eastAsia="zh-CN"/>
              </w:rPr>
            </w:pPr>
            <w:r>
              <w:rPr>
                <w:rFonts w:hint="eastAsia" w:cs="宋体"/>
                <w:color w:val="auto"/>
                <w:sz w:val="22"/>
                <w:highlight w:val="none"/>
                <w:lang w:val="en-US" w:eastAsia="zh-CN"/>
              </w:rPr>
              <w:t>0-4</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vMerge w:val="continue"/>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p>
        </w:tc>
        <w:tc>
          <w:tcPr>
            <w:tcW w:w="1785" w:type="dxa"/>
            <w:vMerge w:val="continue"/>
            <w:tcBorders>
              <w:left w:val="single" w:color="auto" w:sz="4" w:space="0"/>
              <w:right w:val="single" w:color="auto" w:sz="4" w:space="0"/>
            </w:tcBorders>
            <w:noWrap w:val="0"/>
            <w:vAlign w:val="center"/>
          </w:tcPr>
          <w:p>
            <w:pPr>
              <w:pStyle w:val="9"/>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2、中央空调监测（4分）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（1）演示功能点包括动态显示系统流程图，显示系统各设备运行动态，得1分；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（2）演示功能点包括实现对能源站各部分冷量、用户侧冷量、能源站补水量、各主要设备用电量等数据的采集、统计、分析、报表功能，得1分；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（3）演示功能点包括冷站热平衡校验标尺及热平衡率展示，得1分；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（4）演示功能点包括中央空调系统能效信息，得1分。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both"/>
              <w:rPr>
                <w:rFonts w:hint="eastAsia" w:cs="宋体"/>
                <w:color w:val="auto"/>
                <w:sz w:val="22"/>
                <w:highlight w:val="none"/>
                <w:lang w:val="en-US" w:eastAsia="zh-CN"/>
              </w:rPr>
            </w:pPr>
            <w:r>
              <w:rPr>
                <w:rFonts w:hint="eastAsia" w:cs="宋体"/>
                <w:color w:val="auto"/>
                <w:sz w:val="22"/>
                <w:highlight w:val="none"/>
                <w:lang w:val="en-US" w:eastAsia="zh-CN"/>
              </w:rPr>
              <w:t>0-4</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720" w:type="dxa"/>
            <w:vMerge w:val="continue"/>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p>
        </w:tc>
        <w:tc>
          <w:tcPr>
            <w:tcW w:w="1785" w:type="dxa"/>
            <w:vMerge w:val="continue"/>
            <w:tcBorders>
              <w:left w:val="single" w:color="auto" w:sz="4" w:space="0"/>
              <w:right w:val="single" w:color="auto" w:sz="4" w:space="0"/>
            </w:tcBorders>
            <w:noWrap w:val="0"/>
            <w:vAlign w:val="center"/>
          </w:tcPr>
          <w:p>
            <w:pPr>
              <w:pStyle w:val="9"/>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3、变配电系统监测（2分）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（1）演示功能点包括各出线回路电力参数实时展示，得1分；</w:t>
            </w:r>
          </w:p>
          <w:p>
            <w:pPr>
              <w:adjustRightInd w:val="0"/>
              <w:snapToGrid w:val="0"/>
              <w:spacing w:line="240" w:lineRule="auto"/>
              <w:ind w:right="29" w:rightChars="12"/>
              <w:jc w:val="both"/>
              <w:rPr>
                <w:rFonts w:hint="eastAsia"/>
                <w:color w:val="auto"/>
                <w:highlight w:val="none"/>
                <w:lang w:val="en-US" w:eastAsia="zh-CN"/>
              </w:rPr>
            </w:pPr>
            <w:r>
              <w:rPr>
                <w:rFonts w:hint="eastAsia" w:cs="宋体"/>
                <w:color w:val="auto"/>
                <w:kern w:val="0"/>
                <w:sz w:val="22"/>
                <w:szCs w:val="22"/>
                <w:highlight w:val="none"/>
                <w:lang w:val="en-US" w:eastAsia="zh-CN"/>
              </w:rPr>
              <w:t>（4）演示功能点包括配电房综合环境监测，得1分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0-2</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vMerge w:val="continue"/>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p>
        </w:tc>
        <w:tc>
          <w:tcPr>
            <w:tcW w:w="1785" w:type="dxa"/>
            <w:vMerge w:val="continue"/>
            <w:tcBorders>
              <w:left w:val="single" w:color="auto" w:sz="4" w:space="0"/>
              <w:right w:val="single" w:color="auto" w:sz="4" w:space="0"/>
            </w:tcBorders>
            <w:noWrap w:val="0"/>
            <w:vAlign w:val="center"/>
          </w:tcPr>
          <w:p>
            <w:pPr>
              <w:pStyle w:val="9"/>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4、生活水泵房供水监测（2分）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演示功能点包括但不限于以下内容：</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（1）演示功能点包括水泵和变频器的运行状态展示，得1分；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（2）演示功能点包括故障信息以及历史故障展示，得1分；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0-2</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vMerge w:val="continue"/>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p>
        </w:tc>
        <w:tc>
          <w:tcPr>
            <w:tcW w:w="1785" w:type="dxa"/>
            <w:vMerge w:val="continue"/>
            <w:tcBorders>
              <w:left w:val="single" w:color="auto" w:sz="4" w:space="0"/>
              <w:right w:val="single" w:color="auto" w:sz="4" w:space="0"/>
            </w:tcBorders>
            <w:noWrap w:val="0"/>
            <w:vAlign w:val="center"/>
          </w:tcPr>
          <w:p>
            <w:pPr>
              <w:pStyle w:val="9"/>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5、设备全生命周期管理（3分）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演示功能点包括但不限于以下内容：</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default" w:cs="宋体"/>
                <w:color w:val="auto"/>
                <w:kern w:val="0"/>
                <w:sz w:val="22"/>
                <w:szCs w:val="22"/>
                <w:highlight w:val="none"/>
                <w:lang w:val="en-US" w:eastAsia="zh-CN"/>
              </w:rPr>
              <w:t>（1）</w:t>
            </w:r>
            <w:r>
              <w:rPr>
                <w:rFonts w:hint="eastAsia" w:cs="宋体"/>
                <w:color w:val="auto"/>
                <w:kern w:val="0"/>
                <w:sz w:val="22"/>
                <w:szCs w:val="22"/>
                <w:highlight w:val="none"/>
                <w:lang w:val="en-US" w:eastAsia="zh-CN"/>
              </w:rPr>
              <w:t>演示功能点包括</w:t>
            </w:r>
            <w:r>
              <w:rPr>
                <w:rFonts w:hint="default" w:cs="宋体"/>
                <w:color w:val="auto"/>
                <w:kern w:val="0"/>
                <w:sz w:val="22"/>
                <w:szCs w:val="22"/>
                <w:highlight w:val="none"/>
                <w:lang w:val="en-US" w:eastAsia="zh-CN"/>
              </w:rPr>
              <w:t>设备台账</w:t>
            </w:r>
            <w:r>
              <w:rPr>
                <w:rFonts w:hint="eastAsia" w:cs="宋体"/>
                <w:color w:val="auto"/>
                <w:kern w:val="0"/>
                <w:sz w:val="22"/>
                <w:szCs w:val="22"/>
                <w:highlight w:val="none"/>
                <w:lang w:val="en-US" w:eastAsia="zh-CN"/>
              </w:rPr>
              <w:t>管理，得1分；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default" w:cs="宋体"/>
                <w:color w:val="auto"/>
                <w:kern w:val="0"/>
                <w:sz w:val="22"/>
                <w:szCs w:val="22"/>
                <w:highlight w:val="none"/>
                <w:lang w:val="en-US" w:eastAsia="zh-CN"/>
              </w:rPr>
              <w:t>（</w:t>
            </w:r>
            <w:r>
              <w:rPr>
                <w:rFonts w:hint="eastAsia" w:cs="宋体"/>
                <w:color w:val="auto"/>
                <w:kern w:val="0"/>
                <w:sz w:val="22"/>
                <w:szCs w:val="22"/>
                <w:highlight w:val="none"/>
                <w:lang w:val="en-US" w:eastAsia="zh-CN"/>
              </w:rPr>
              <w:t>2</w:t>
            </w:r>
            <w:r>
              <w:rPr>
                <w:rFonts w:hint="default" w:cs="宋体"/>
                <w:color w:val="auto"/>
                <w:kern w:val="0"/>
                <w:sz w:val="22"/>
                <w:szCs w:val="22"/>
                <w:highlight w:val="none"/>
                <w:lang w:val="en-US" w:eastAsia="zh-CN"/>
              </w:rPr>
              <w:t>）</w:t>
            </w:r>
            <w:r>
              <w:rPr>
                <w:rFonts w:hint="eastAsia" w:cs="宋体"/>
                <w:color w:val="auto"/>
                <w:kern w:val="0"/>
                <w:sz w:val="22"/>
                <w:szCs w:val="22"/>
                <w:highlight w:val="none"/>
                <w:lang w:val="en-US" w:eastAsia="zh-CN"/>
              </w:rPr>
              <w:t>演示功能点包括</w:t>
            </w:r>
            <w:r>
              <w:rPr>
                <w:rFonts w:hint="default" w:cs="宋体"/>
                <w:color w:val="auto"/>
                <w:kern w:val="0"/>
                <w:sz w:val="22"/>
                <w:szCs w:val="22"/>
                <w:highlight w:val="none"/>
                <w:lang w:val="en-US" w:eastAsia="zh-CN"/>
              </w:rPr>
              <w:t>设备</w:t>
            </w:r>
            <w:r>
              <w:rPr>
                <w:rFonts w:hint="eastAsia" w:cs="宋体"/>
                <w:color w:val="auto"/>
                <w:kern w:val="0"/>
                <w:sz w:val="22"/>
                <w:szCs w:val="22"/>
                <w:highlight w:val="none"/>
                <w:lang w:val="en-US" w:eastAsia="zh-CN"/>
              </w:rPr>
              <w:t>履历</w:t>
            </w:r>
            <w:r>
              <w:rPr>
                <w:rFonts w:hint="default" w:cs="宋体"/>
                <w:color w:val="auto"/>
                <w:kern w:val="0"/>
                <w:sz w:val="22"/>
                <w:szCs w:val="22"/>
                <w:highlight w:val="none"/>
                <w:lang w:val="en-US" w:eastAsia="zh-CN"/>
              </w:rPr>
              <w:t>管理</w:t>
            </w:r>
            <w:r>
              <w:rPr>
                <w:rFonts w:hint="eastAsia" w:cs="宋体"/>
                <w:color w:val="auto"/>
                <w:kern w:val="0"/>
                <w:sz w:val="22"/>
                <w:szCs w:val="22"/>
                <w:highlight w:val="none"/>
                <w:lang w:val="en-US" w:eastAsia="zh-CN"/>
              </w:rPr>
              <w:t>，得1分；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default" w:cs="宋体"/>
                <w:color w:val="auto"/>
                <w:kern w:val="0"/>
                <w:sz w:val="22"/>
                <w:szCs w:val="22"/>
                <w:highlight w:val="none"/>
                <w:lang w:val="en-US" w:eastAsia="zh-CN"/>
              </w:rPr>
              <w:t>（</w:t>
            </w:r>
            <w:r>
              <w:rPr>
                <w:rFonts w:hint="eastAsia" w:cs="宋体"/>
                <w:color w:val="auto"/>
                <w:kern w:val="0"/>
                <w:sz w:val="22"/>
                <w:szCs w:val="22"/>
                <w:highlight w:val="none"/>
                <w:lang w:val="en-US" w:eastAsia="zh-CN"/>
              </w:rPr>
              <w:t>3</w:t>
            </w:r>
            <w:r>
              <w:rPr>
                <w:rFonts w:hint="default" w:cs="宋体"/>
                <w:color w:val="auto"/>
                <w:kern w:val="0"/>
                <w:sz w:val="22"/>
                <w:szCs w:val="22"/>
                <w:highlight w:val="none"/>
                <w:lang w:val="en-US" w:eastAsia="zh-CN"/>
              </w:rPr>
              <w:t>）</w:t>
            </w:r>
            <w:r>
              <w:rPr>
                <w:rFonts w:hint="eastAsia" w:cs="宋体"/>
                <w:color w:val="auto"/>
                <w:kern w:val="0"/>
                <w:sz w:val="22"/>
                <w:szCs w:val="22"/>
                <w:highlight w:val="none"/>
                <w:lang w:val="en-US" w:eastAsia="zh-CN"/>
              </w:rPr>
              <w:t>演示功能点包括</w:t>
            </w:r>
            <w:r>
              <w:rPr>
                <w:rFonts w:hint="default" w:cs="宋体"/>
                <w:color w:val="auto"/>
                <w:kern w:val="0"/>
                <w:sz w:val="22"/>
                <w:szCs w:val="22"/>
                <w:highlight w:val="none"/>
                <w:lang w:val="en-US" w:eastAsia="zh-CN"/>
              </w:rPr>
              <w:t>巡检管理</w:t>
            </w:r>
            <w:r>
              <w:rPr>
                <w:rFonts w:hint="eastAsia" w:cs="宋体"/>
                <w:color w:val="auto"/>
                <w:kern w:val="0"/>
                <w:sz w:val="22"/>
                <w:szCs w:val="22"/>
                <w:highlight w:val="none"/>
                <w:lang w:val="en-US" w:eastAsia="zh-CN"/>
              </w:rPr>
              <w:t>，得1分；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0-3</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tcBorders>
              <w:left w:val="single" w:color="auto" w:sz="4" w:space="0"/>
              <w:right w:val="single" w:color="auto" w:sz="4" w:space="0"/>
            </w:tcBorders>
            <w:noWrap w:val="0"/>
            <w:vAlign w:val="center"/>
          </w:tcPr>
          <w:p>
            <w:pPr>
              <w:widowControl/>
              <w:spacing w:line="240" w:lineRule="auto"/>
              <w:jc w:val="center"/>
              <w:rPr>
                <w:rFonts w:hint="eastAsia" w:ascii="宋体" w:eastAsia="宋体" w:cs="宋体"/>
                <w:b w:val="0"/>
                <w:bCs w:val="0"/>
                <w:color w:val="auto"/>
                <w:sz w:val="22"/>
                <w:highlight w:val="none"/>
                <w:lang w:val="en-US" w:eastAsia="zh-CN"/>
              </w:rPr>
            </w:pPr>
            <w:r>
              <w:rPr>
                <w:rFonts w:hint="eastAsia" w:cs="宋体"/>
                <w:b w:val="0"/>
                <w:bCs w:val="0"/>
                <w:color w:val="auto"/>
                <w:sz w:val="22"/>
                <w:highlight w:val="none"/>
                <w:lang w:val="en-US" w:eastAsia="zh-CN"/>
              </w:rPr>
              <w:t>4</w:t>
            </w:r>
          </w:p>
        </w:tc>
        <w:tc>
          <w:tcPr>
            <w:tcW w:w="1785" w:type="dxa"/>
            <w:tcBorders>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jc w:val="center"/>
              <w:rPr>
                <w:rFonts w:hint="eastAsia" w:ascii="新宋体" w:hAnsi="新宋体" w:eastAsia="新宋体" w:cs="新宋体"/>
                <w:b w:val="0"/>
                <w:bCs w:val="0"/>
                <w:color w:val="auto"/>
                <w:sz w:val="22"/>
                <w:szCs w:val="22"/>
                <w:highlight w:val="none"/>
                <w:lang w:val="en-US" w:eastAsia="zh-CN"/>
              </w:rPr>
            </w:pPr>
            <w:r>
              <w:rPr>
                <w:rFonts w:hint="eastAsia" w:ascii="新宋体" w:hAnsi="新宋体" w:eastAsia="新宋体" w:cs="新宋体"/>
                <w:b w:val="0"/>
                <w:bCs w:val="0"/>
                <w:color w:val="auto"/>
                <w:sz w:val="22"/>
                <w:szCs w:val="22"/>
                <w:highlight w:val="none"/>
                <w:lang w:val="en-US" w:eastAsia="zh-CN"/>
              </w:rPr>
              <w:t>关键产品技术指标</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leftChars="0" w:firstLine="0" w:firstLineChars="0"/>
              <w:jc w:val="center"/>
              <w:rPr>
                <w:rFonts w:hint="default" w:ascii="宋体" w:hAnsi="宋体"/>
                <w:b w:val="0"/>
                <w:bCs w:val="0"/>
                <w:color w:val="auto"/>
                <w:sz w:val="22"/>
                <w:szCs w:val="22"/>
                <w:highlight w:val="none"/>
                <w:lang w:val="en-US" w:eastAsia="zh-CN"/>
              </w:rPr>
            </w:pPr>
            <w:r>
              <w:rPr>
                <w:rFonts w:hint="eastAsia" w:ascii="新宋体" w:hAnsi="新宋体" w:eastAsia="新宋体" w:cs="新宋体"/>
                <w:b w:val="0"/>
                <w:bCs w:val="0"/>
                <w:color w:val="auto"/>
                <w:sz w:val="22"/>
                <w:szCs w:val="22"/>
                <w:highlight w:val="none"/>
                <w:lang w:val="en-US" w:eastAsia="zh-CN"/>
              </w:rPr>
              <w:t>（15分）</w:t>
            </w:r>
          </w:p>
        </w:tc>
        <w:tc>
          <w:tcPr>
            <w:tcW w:w="6354"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ind w:left="0" w:leftChars="0" w:firstLine="0" w:firstLineChars="0"/>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评标委员会根据投标人拟投入产品技术参数与本项目采购需求响应程度进行评分：投标人产品技术参数完全响应招标文件要求的得</w:t>
            </w:r>
            <w:r>
              <w:rPr>
                <w:rFonts w:hint="default"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lang w:val="en-US" w:eastAsia="zh-CN"/>
              </w:rPr>
              <w:t>5分，带★项没出现一项负偏离扣1分，扣完为止。</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leftChars="0" w:firstLine="0" w:firstLineChars="0"/>
              <w:jc w:val="left"/>
              <w:rPr>
                <w:rFonts w:hint="eastAsia" w:cs="宋体"/>
                <w:color w:val="auto"/>
                <w:kern w:val="0"/>
                <w:sz w:val="22"/>
                <w:szCs w:val="22"/>
                <w:highlight w:val="none"/>
                <w:lang w:val="en-US" w:eastAsia="zh-CN"/>
              </w:rPr>
            </w:pPr>
            <w:r>
              <w:rPr>
                <w:rFonts w:hint="eastAsia" w:ascii="新宋体" w:hAnsi="新宋体" w:eastAsia="新宋体" w:cs="新宋体"/>
                <w:color w:val="auto"/>
                <w:sz w:val="22"/>
                <w:szCs w:val="22"/>
                <w:highlight w:val="none"/>
                <w:lang w:val="en-US" w:eastAsia="zh-CN"/>
              </w:rPr>
              <w:t>（须提供相应证明文件，不提供视为不满足要求。）</w:t>
            </w:r>
          </w:p>
        </w:tc>
        <w:tc>
          <w:tcPr>
            <w:tcW w:w="972"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jc w:val="left"/>
              <w:rPr>
                <w:rFonts w:hint="eastAsia" w:cs="宋体"/>
                <w:color w:val="auto"/>
                <w:sz w:val="22"/>
                <w:highlight w:val="none"/>
                <w:lang w:val="en-US" w:eastAsia="zh-CN"/>
              </w:rPr>
            </w:pPr>
            <w:r>
              <w:rPr>
                <w:rFonts w:hint="eastAsia" w:ascii="新宋体" w:hAnsi="新宋体" w:eastAsia="新宋体" w:cs="新宋体"/>
                <w:color w:val="auto"/>
                <w:sz w:val="22"/>
                <w:szCs w:val="22"/>
                <w:highlight w:val="none"/>
                <w:lang w:val="en-US" w:eastAsia="zh-CN"/>
              </w:rPr>
              <w:t>0-15分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720" w:type="dxa"/>
            <w:vMerge w:val="restart"/>
            <w:tcBorders>
              <w:left w:val="single" w:color="auto" w:sz="4" w:space="0"/>
              <w:right w:val="single" w:color="auto" w:sz="4" w:space="0"/>
            </w:tcBorders>
            <w:noWrap w:val="0"/>
            <w:vAlign w:val="center"/>
          </w:tcPr>
          <w:p>
            <w:pPr>
              <w:pStyle w:val="20"/>
              <w:spacing w:line="240" w:lineRule="auto"/>
              <w:ind w:left="0" w:leftChars="0" w:firstLine="220" w:firstLineChars="100"/>
              <w:jc w:val="both"/>
              <w:rPr>
                <w:rFonts w:hint="default" w:ascii="宋体" w:cs="宋体"/>
                <w:b w:val="0"/>
                <w:bCs w:val="0"/>
                <w:color w:val="auto"/>
                <w:sz w:val="22"/>
                <w:highlight w:val="none"/>
                <w:lang w:val="en-US" w:eastAsia="zh-CN"/>
              </w:rPr>
            </w:pPr>
            <w:r>
              <w:rPr>
                <w:rFonts w:hint="eastAsia" w:ascii="宋体" w:cs="宋体"/>
                <w:b w:val="0"/>
                <w:bCs w:val="0"/>
                <w:color w:val="auto"/>
                <w:sz w:val="22"/>
                <w:highlight w:val="none"/>
                <w:lang w:val="en-US" w:eastAsia="zh-CN"/>
              </w:rPr>
              <w:t>5</w:t>
            </w:r>
          </w:p>
        </w:tc>
        <w:tc>
          <w:tcPr>
            <w:tcW w:w="1785" w:type="dxa"/>
            <w:vMerge w:val="restart"/>
            <w:tcBorders>
              <w:left w:val="single" w:color="auto" w:sz="4" w:space="0"/>
              <w:right w:val="single" w:color="auto" w:sz="4" w:space="0"/>
            </w:tcBorders>
            <w:noWrap w:val="0"/>
            <w:vAlign w:val="center"/>
          </w:tcPr>
          <w:p>
            <w:pPr>
              <w:pStyle w:val="9"/>
              <w:spacing w:after="0" w:line="240" w:lineRule="auto"/>
              <w:ind w:left="0" w:leftChars="0"/>
              <w:jc w:val="center"/>
              <w:rPr>
                <w:rFonts w:hint="eastAsia" w:ascii="宋体" w:hAnsi="宋体"/>
                <w:b w:val="0"/>
                <w:bCs w:val="0"/>
                <w:color w:val="auto"/>
                <w:sz w:val="22"/>
                <w:szCs w:val="22"/>
                <w:highlight w:val="none"/>
              </w:rPr>
            </w:pPr>
            <w:r>
              <w:rPr>
                <w:rFonts w:hint="eastAsia" w:ascii="宋体" w:hAnsi="宋体"/>
                <w:b w:val="0"/>
                <w:bCs w:val="0"/>
                <w:color w:val="auto"/>
                <w:sz w:val="22"/>
                <w:szCs w:val="22"/>
                <w:highlight w:val="none"/>
              </w:rPr>
              <w:t>系统</w:t>
            </w:r>
            <w:r>
              <w:rPr>
                <w:rFonts w:hint="eastAsia" w:ascii="宋体" w:hAnsi="宋体"/>
                <w:b w:val="0"/>
                <w:bCs w:val="0"/>
                <w:color w:val="auto"/>
                <w:sz w:val="22"/>
                <w:szCs w:val="22"/>
                <w:highlight w:val="none"/>
                <w:lang w:val="en-US" w:eastAsia="zh-CN"/>
              </w:rPr>
              <w:t>集成</w:t>
            </w:r>
            <w:r>
              <w:rPr>
                <w:rFonts w:hint="eastAsia" w:ascii="宋体" w:hAnsi="宋体"/>
                <w:b w:val="0"/>
                <w:bCs w:val="0"/>
                <w:color w:val="auto"/>
                <w:sz w:val="22"/>
                <w:szCs w:val="22"/>
                <w:highlight w:val="none"/>
              </w:rPr>
              <w:t>设计</w:t>
            </w:r>
          </w:p>
          <w:p>
            <w:pPr>
              <w:pStyle w:val="9"/>
              <w:spacing w:after="0" w:line="240" w:lineRule="auto"/>
              <w:ind w:left="0" w:leftChars="0"/>
              <w:jc w:val="center"/>
              <w:rPr>
                <w:rFonts w:hint="default"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eastAsia="zh-CN"/>
              </w:rPr>
              <w:t>（</w:t>
            </w:r>
            <w:r>
              <w:rPr>
                <w:rFonts w:hint="eastAsia" w:ascii="宋体" w:hAnsi="宋体"/>
                <w:b w:val="0"/>
                <w:bCs w:val="0"/>
                <w:color w:val="auto"/>
                <w:sz w:val="22"/>
                <w:szCs w:val="22"/>
                <w:highlight w:val="none"/>
                <w:lang w:val="en-US" w:eastAsia="zh-CN"/>
              </w:rPr>
              <w:t>12分</w:t>
            </w:r>
            <w:r>
              <w:rPr>
                <w:rFonts w:hint="eastAsia" w:ascii="宋体" w:hAnsi="宋体"/>
                <w:b w:val="0"/>
                <w:bCs w:val="0"/>
                <w:color w:val="auto"/>
                <w:sz w:val="22"/>
                <w:szCs w:val="22"/>
                <w:highlight w:val="none"/>
                <w:lang w:eastAsia="zh-CN"/>
              </w:rPr>
              <w:t>）</w:t>
            </w:r>
          </w:p>
        </w:tc>
        <w:tc>
          <w:tcPr>
            <w:tcW w:w="63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1.根据</w:t>
            </w:r>
            <w:r>
              <w:rPr>
                <w:rFonts w:hint="eastAsia" w:ascii="新宋体" w:hAnsi="新宋体" w:eastAsia="新宋体" w:cs="新宋体"/>
                <w:color w:val="auto"/>
                <w:sz w:val="22"/>
                <w:szCs w:val="22"/>
                <w:highlight w:val="none"/>
              </w:rPr>
              <w:t>软件整体架构与功能点的可行性、合理性、规范性</w:t>
            </w:r>
            <w:r>
              <w:rPr>
                <w:rFonts w:hint="eastAsia" w:ascii="新宋体" w:hAnsi="新宋体" w:eastAsia="新宋体" w:cs="新宋体"/>
                <w:color w:val="auto"/>
                <w:sz w:val="22"/>
                <w:szCs w:val="22"/>
                <w:highlight w:val="none"/>
                <w:lang w:val="en-US" w:eastAsia="zh-CN"/>
              </w:rPr>
              <w:t>由专家进行评审。本小项最高可得4分。</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b w:val="0"/>
                <w:bCs w:val="0"/>
                <w:color w:val="auto"/>
                <w:sz w:val="22"/>
                <w:szCs w:val="22"/>
                <w:highlight w:val="none"/>
              </w:rPr>
            </w:pPr>
            <w:r>
              <w:rPr>
                <w:rFonts w:hint="eastAsia" w:ascii="新宋体" w:hAnsi="新宋体" w:eastAsia="新宋体" w:cs="新宋体"/>
                <w:color w:val="auto"/>
                <w:sz w:val="22"/>
                <w:szCs w:val="22"/>
                <w:highlight w:val="none"/>
                <w:lang w:val="en-US" w:eastAsia="zh-CN"/>
              </w:rPr>
              <w:t>其中：基本满足采购需求得3-4分，个别满足采购需求得0-2分。</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宋体" w:cs="宋体"/>
                <w:color w:val="auto"/>
                <w:sz w:val="22"/>
                <w:highlight w:val="none"/>
                <w:lang w:val="en-US" w:eastAsia="zh-CN"/>
              </w:rPr>
            </w:pPr>
            <w:r>
              <w:rPr>
                <w:rFonts w:hint="eastAsia" w:cs="宋体"/>
                <w:color w:val="auto"/>
                <w:sz w:val="22"/>
                <w:highlight w:val="none"/>
                <w:lang w:val="en-US" w:eastAsia="zh-CN"/>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20" w:type="dxa"/>
            <w:vMerge w:val="continue"/>
            <w:tcBorders>
              <w:left w:val="single" w:color="auto" w:sz="4" w:space="0"/>
              <w:right w:val="single" w:color="auto" w:sz="4" w:space="0"/>
            </w:tcBorders>
            <w:noWrap w:val="0"/>
            <w:vAlign w:val="center"/>
          </w:tcPr>
          <w:p>
            <w:pPr>
              <w:pStyle w:val="20"/>
              <w:spacing w:line="240" w:lineRule="auto"/>
              <w:jc w:val="center"/>
              <w:rPr>
                <w:rFonts w:hint="eastAsia" w:ascii="宋体" w:cs="宋体"/>
                <w:b w:val="0"/>
                <w:bCs w:val="0"/>
                <w:color w:val="auto"/>
                <w:sz w:val="22"/>
                <w:highlight w:val="none"/>
                <w:lang w:val="en-US" w:eastAsia="zh-CN"/>
              </w:rPr>
            </w:pPr>
          </w:p>
        </w:tc>
        <w:tc>
          <w:tcPr>
            <w:tcW w:w="1785" w:type="dxa"/>
            <w:vMerge w:val="continue"/>
            <w:tcBorders>
              <w:left w:val="single" w:color="auto" w:sz="4" w:space="0"/>
              <w:right w:val="single" w:color="auto" w:sz="4" w:space="0"/>
            </w:tcBorders>
            <w:noWrap w:val="0"/>
            <w:vAlign w:val="center"/>
          </w:tcPr>
          <w:p>
            <w:pPr>
              <w:pStyle w:val="9"/>
              <w:spacing w:after="0" w:line="240" w:lineRule="auto"/>
              <w:ind w:left="0" w:leftChars="0"/>
              <w:jc w:val="center"/>
              <w:rPr>
                <w:rFonts w:hint="eastAsia" w:ascii="宋体" w:hAnsi="宋体"/>
                <w:b w:val="0"/>
                <w:bCs w:val="0"/>
                <w:color w:val="auto"/>
                <w:sz w:val="22"/>
                <w:szCs w:val="22"/>
                <w:highlight w:val="none"/>
                <w:lang w:eastAsia="zh-CN"/>
              </w:rPr>
            </w:pPr>
          </w:p>
        </w:tc>
        <w:tc>
          <w:tcPr>
            <w:tcW w:w="63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软件功能的完整性、实用性与兼容性</w:t>
            </w:r>
            <w:r>
              <w:rPr>
                <w:rFonts w:hint="eastAsia" w:ascii="新宋体" w:hAnsi="新宋体" w:eastAsia="新宋体" w:cs="新宋体"/>
                <w:color w:val="auto"/>
                <w:sz w:val="22"/>
                <w:szCs w:val="22"/>
                <w:highlight w:val="none"/>
                <w:lang w:val="en-US" w:eastAsia="zh-CN"/>
              </w:rPr>
              <w:t>由专家进行评审。</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其中：基本满足采购需求得3-4分，个别满足采购需求得0-2分。</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0-4</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20" w:type="dxa"/>
            <w:vMerge w:val="continue"/>
            <w:tcBorders>
              <w:left w:val="single" w:color="auto" w:sz="4" w:space="0"/>
              <w:right w:val="single" w:color="auto" w:sz="4" w:space="0"/>
            </w:tcBorders>
            <w:noWrap w:val="0"/>
            <w:vAlign w:val="center"/>
          </w:tcPr>
          <w:p>
            <w:pPr>
              <w:pStyle w:val="20"/>
              <w:spacing w:line="240" w:lineRule="auto"/>
              <w:jc w:val="center"/>
              <w:rPr>
                <w:rFonts w:hint="eastAsia" w:ascii="宋体" w:cs="宋体"/>
                <w:b w:val="0"/>
                <w:bCs w:val="0"/>
                <w:color w:val="auto"/>
                <w:sz w:val="22"/>
                <w:highlight w:val="none"/>
                <w:lang w:val="en-US" w:eastAsia="zh-CN"/>
              </w:rPr>
            </w:pPr>
          </w:p>
        </w:tc>
        <w:tc>
          <w:tcPr>
            <w:tcW w:w="1785" w:type="dxa"/>
            <w:vMerge w:val="continue"/>
            <w:tcBorders>
              <w:left w:val="single" w:color="auto" w:sz="4" w:space="0"/>
              <w:right w:val="single" w:color="auto" w:sz="4" w:space="0"/>
            </w:tcBorders>
            <w:noWrap w:val="0"/>
            <w:vAlign w:val="center"/>
          </w:tcPr>
          <w:p>
            <w:pPr>
              <w:pStyle w:val="9"/>
              <w:spacing w:after="0" w:line="240" w:lineRule="auto"/>
              <w:ind w:left="0" w:leftChars="0"/>
              <w:jc w:val="center"/>
              <w:rPr>
                <w:rFonts w:hint="eastAsia" w:ascii="宋体" w:hAnsi="宋体"/>
                <w:b w:val="0"/>
                <w:bCs w:val="0"/>
                <w:color w:val="auto"/>
                <w:sz w:val="22"/>
                <w:szCs w:val="22"/>
                <w:highlight w:val="none"/>
                <w:lang w:eastAsia="zh-CN"/>
              </w:rPr>
            </w:pPr>
          </w:p>
        </w:tc>
        <w:tc>
          <w:tcPr>
            <w:tcW w:w="63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有完整的数据库设计、存储量估算、大数据表处理的方案及数据安全设计</w:t>
            </w:r>
            <w:r>
              <w:rPr>
                <w:rFonts w:hint="eastAsia" w:ascii="新宋体" w:hAnsi="新宋体" w:eastAsia="新宋体" w:cs="新宋体"/>
                <w:color w:val="auto"/>
                <w:sz w:val="22"/>
                <w:szCs w:val="22"/>
                <w:highlight w:val="none"/>
                <w:lang w:val="en-US" w:eastAsia="zh-CN"/>
              </w:rPr>
              <w:t>由专家进行评审。其中：基本满足采购需求得3-4分，个别满足采购需求得0-2分。</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0-4</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20" w:type="dxa"/>
            <w:vMerge w:val="restart"/>
            <w:tcBorders>
              <w:left w:val="single" w:color="auto" w:sz="4" w:space="0"/>
              <w:right w:val="single" w:color="auto" w:sz="4" w:space="0"/>
            </w:tcBorders>
            <w:noWrap w:val="0"/>
            <w:vAlign w:val="center"/>
          </w:tcPr>
          <w:p>
            <w:pPr>
              <w:pStyle w:val="20"/>
              <w:spacing w:line="240" w:lineRule="auto"/>
              <w:jc w:val="center"/>
              <w:rPr>
                <w:rFonts w:hint="default" w:ascii="宋体" w:cs="宋体"/>
                <w:b w:val="0"/>
                <w:bCs w:val="0"/>
                <w:color w:val="auto"/>
                <w:sz w:val="22"/>
                <w:highlight w:val="none"/>
                <w:lang w:val="en-US" w:eastAsia="zh-CN"/>
              </w:rPr>
            </w:pPr>
            <w:r>
              <w:rPr>
                <w:rFonts w:hint="eastAsia" w:ascii="宋体" w:cs="宋体"/>
                <w:b w:val="0"/>
                <w:bCs w:val="0"/>
                <w:color w:val="auto"/>
                <w:sz w:val="22"/>
                <w:highlight w:val="none"/>
                <w:lang w:val="en-US" w:eastAsia="zh-CN"/>
              </w:rPr>
              <w:t xml:space="preserve"> 6</w:t>
            </w:r>
          </w:p>
        </w:tc>
        <w:tc>
          <w:tcPr>
            <w:tcW w:w="1785" w:type="dxa"/>
            <w:vMerge w:val="restart"/>
            <w:tcBorders>
              <w:left w:val="single" w:color="auto" w:sz="4" w:space="0"/>
              <w:right w:val="single" w:color="auto" w:sz="4" w:space="0"/>
            </w:tcBorders>
            <w:noWrap w:val="0"/>
            <w:vAlign w:val="center"/>
          </w:tcPr>
          <w:p>
            <w:pPr>
              <w:pStyle w:val="9"/>
              <w:spacing w:after="0" w:line="240" w:lineRule="auto"/>
              <w:ind w:left="0" w:leftChars="0"/>
              <w:jc w:val="center"/>
              <w:rPr>
                <w:rFonts w:hint="eastAsia" w:ascii="宋体" w:hAnsi="宋体"/>
                <w:b w:val="0"/>
                <w:bCs w:val="0"/>
                <w:color w:val="auto"/>
                <w:sz w:val="22"/>
                <w:szCs w:val="22"/>
                <w:highlight w:val="none"/>
              </w:rPr>
            </w:pPr>
            <w:r>
              <w:rPr>
                <w:rFonts w:hint="eastAsia" w:ascii="宋体" w:hAnsi="宋体"/>
                <w:b w:val="0"/>
                <w:bCs w:val="0"/>
                <w:color w:val="auto"/>
                <w:sz w:val="22"/>
                <w:szCs w:val="22"/>
                <w:highlight w:val="none"/>
              </w:rPr>
              <w:t>项目实施能力</w:t>
            </w:r>
          </w:p>
          <w:p>
            <w:pPr>
              <w:pStyle w:val="9"/>
              <w:spacing w:after="0" w:line="240" w:lineRule="auto"/>
              <w:ind w:left="0" w:leftChars="0"/>
              <w:jc w:val="center"/>
              <w:rPr>
                <w:rFonts w:hint="default"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rPr>
              <w:t>（</w:t>
            </w:r>
            <w:r>
              <w:rPr>
                <w:rFonts w:hint="eastAsia" w:ascii="宋体" w:hAnsi="宋体"/>
                <w:b w:val="0"/>
                <w:bCs w:val="0"/>
                <w:color w:val="auto"/>
                <w:sz w:val="22"/>
                <w:szCs w:val="22"/>
                <w:highlight w:val="none"/>
                <w:lang w:val="en-US" w:eastAsia="zh-CN"/>
              </w:rPr>
              <w:t>10</w:t>
            </w:r>
            <w:r>
              <w:rPr>
                <w:rFonts w:hint="eastAsia" w:ascii="宋体" w:hAnsi="宋体"/>
                <w:b w:val="0"/>
                <w:bCs w:val="0"/>
                <w:color w:val="auto"/>
                <w:sz w:val="22"/>
                <w:szCs w:val="22"/>
                <w:highlight w:val="none"/>
              </w:rPr>
              <w:t>分）</w:t>
            </w:r>
          </w:p>
        </w:tc>
        <w:tc>
          <w:tcPr>
            <w:tcW w:w="6354"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right="29" w:rightChars="12"/>
              <w:jc w:val="left"/>
              <w:rPr>
                <w:rFonts w:hint="eastAsia"/>
                <w:color w:val="auto"/>
                <w:sz w:val="22"/>
                <w:highlight w:val="none"/>
                <w:lang w:val="en-US" w:eastAsia="zh-CN"/>
              </w:rPr>
            </w:pPr>
            <w:r>
              <w:rPr>
                <w:rFonts w:hint="eastAsia" w:ascii="宋体"/>
                <w:color w:val="auto"/>
                <w:sz w:val="22"/>
                <w:highlight w:val="none"/>
              </w:rPr>
              <w:t>对本项目的重点难点认识清楚、分析合理，工作方案有针对性，对项目理解透彻，能提出很好和有效的解决方案及额外服务</w:t>
            </w:r>
            <w:r>
              <w:rPr>
                <w:rFonts w:hint="eastAsia"/>
                <w:color w:val="auto"/>
                <w:sz w:val="22"/>
                <w:highlight w:val="none"/>
                <w:lang w:val="en-US" w:eastAsia="zh-CN"/>
              </w:rPr>
              <w:t>由专家进行评审。</w:t>
            </w:r>
          </w:p>
          <w:p>
            <w:pPr>
              <w:spacing w:line="240" w:lineRule="auto"/>
              <w:ind w:right="29" w:rightChars="12"/>
              <w:jc w:val="left"/>
              <w:rPr>
                <w:rFonts w:hint="eastAsia" w:ascii="新宋体" w:hAnsi="新宋体" w:eastAsia="新宋体" w:cs="新宋体"/>
                <w:color w:val="auto"/>
                <w:sz w:val="22"/>
                <w:szCs w:val="22"/>
                <w:highlight w:val="none"/>
              </w:rPr>
            </w:pPr>
            <w:r>
              <w:rPr>
                <w:rFonts w:hint="eastAsia"/>
                <w:color w:val="auto"/>
                <w:sz w:val="22"/>
                <w:highlight w:val="none"/>
                <w:lang w:val="en-US" w:eastAsia="zh-CN"/>
              </w:rPr>
              <w:t>其中：</w:t>
            </w:r>
            <w:r>
              <w:rPr>
                <w:rFonts w:hint="eastAsia" w:cs="宋体"/>
                <w:color w:val="auto"/>
                <w:kern w:val="0"/>
                <w:sz w:val="22"/>
                <w:szCs w:val="22"/>
                <w:highlight w:val="none"/>
                <w:lang w:val="en-US" w:eastAsia="zh-CN"/>
              </w:rPr>
              <w:t>完全合理：4-5分，基本合理2-3分，个别合理0-1分</w:t>
            </w:r>
            <w:r>
              <w:rPr>
                <w:rFonts w:hint="eastAsia" w:ascii="宋体"/>
                <w:color w:val="auto"/>
                <w:sz w:val="22"/>
                <w:highlight w:val="none"/>
              </w:rPr>
              <w:t>。</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宋体" w:eastAsia="宋体" w:cs="宋体"/>
                <w:color w:val="auto"/>
                <w:sz w:val="22"/>
                <w:highlight w:val="none"/>
                <w:lang w:val="en-US" w:eastAsia="zh-CN"/>
              </w:rPr>
            </w:pPr>
            <w:r>
              <w:rPr>
                <w:rFonts w:hint="eastAsia" w:eastAsia="宋体" w:cs="宋体"/>
                <w:color w:val="auto"/>
                <w:sz w:val="22"/>
                <w:highlight w:val="none"/>
                <w:lang w:val="en-US" w:eastAsia="zh-CN"/>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720" w:type="dxa"/>
            <w:vMerge w:val="continue"/>
            <w:tcBorders>
              <w:left w:val="single" w:color="auto" w:sz="4" w:space="0"/>
              <w:right w:val="single" w:color="auto" w:sz="4" w:space="0"/>
            </w:tcBorders>
            <w:noWrap w:val="0"/>
            <w:vAlign w:val="center"/>
          </w:tcPr>
          <w:p>
            <w:pPr>
              <w:pStyle w:val="20"/>
              <w:spacing w:line="240" w:lineRule="auto"/>
              <w:jc w:val="center"/>
              <w:rPr>
                <w:rFonts w:hint="eastAsia" w:ascii="宋体" w:cs="宋体"/>
                <w:color w:val="auto"/>
                <w:sz w:val="22"/>
                <w:highlight w:val="none"/>
                <w:lang w:val="en-US" w:eastAsia="zh-CN"/>
              </w:rPr>
            </w:pPr>
          </w:p>
        </w:tc>
        <w:tc>
          <w:tcPr>
            <w:tcW w:w="1785" w:type="dxa"/>
            <w:vMerge w:val="continue"/>
            <w:tcBorders>
              <w:left w:val="single" w:color="auto" w:sz="4" w:space="0"/>
              <w:right w:val="single" w:color="auto" w:sz="4" w:space="0"/>
            </w:tcBorders>
            <w:noWrap w:val="0"/>
            <w:vAlign w:val="center"/>
          </w:tcPr>
          <w:p>
            <w:pPr>
              <w:pStyle w:val="3"/>
              <w:spacing w:line="240" w:lineRule="auto"/>
              <w:ind w:left="0" w:leftChars="0" w:firstLine="0" w:firstLineChars="0"/>
              <w:jc w:val="center"/>
              <w:rPr>
                <w:rFonts w:hint="eastAsia" w:ascii="新宋体" w:hAnsi="新宋体" w:eastAsia="新宋体" w:cs="新宋体"/>
                <w:color w:val="auto"/>
                <w:kern w:val="2"/>
                <w:sz w:val="22"/>
                <w:szCs w:val="22"/>
                <w:highlight w:val="none"/>
                <w:lang w:val="en-US" w:eastAsia="zh-CN" w:bidi="ar-SA"/>
              </w:rPr>
            </w:pPr>
          </w:p>
        </w:tc>
        <w:tc>
          <w:tcPr>
            <w:tcW w:w="6354"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right="29" w:rightChars="12"/>
              <w:jc w:val="left"/>
              <w:rPr>
                <w:rFonts w:hint="eastAsia"/>
                <w:color w:val="auto"/>
                <w:sz w:val="22"/>
                <w:highlight w:val="none"/>
                <w:lang w:val="en-US" w:eastAsia="zh-CN"/>
              </w:rPr>
            </w:pPr>
            <w:r>
              <w:rPr>
                <w:rFonts w:hint="eastAsia"/>
                <w:color w:val="auto"/>
                <w:sz w:val="22"/>
                <w:highlight w:val="none"/>
                <w:lang w:val="en-US" w:eastAsia="zh-CN"/>
              </w:rPr>
              <w:t>根据本项目的</w:t>
            </w:r>
            <w:r>
              <w:rPr>
                <w:rFonts w:hint="eastAsia" w:ascii="宋体"/>
                <w:color w:val="auto"/>
                <w:sz w:val="22"/>
                <w:highlight w:val="none"/>
              </w:rPr>
              <w:t>方案深化设计、劳动力计划、项目人员组织计划、详细完整的施工方案，能清楚列出的主材、辅材数量等</w:t>
            </w:r>
            <w:r>
              <w:rPr>
                <w:rFonts w:hint="eastAsia"/>
                <w:color w:val="auto"/>
                <w:sz w:val="22"/>
                <w:highlight w:val="none"/>
                <w:lang w:val="en-US" w:eastAsia="zh-CN"/>
              </w:rPr>
              <w:t>由专家进行评审。</w:t>
            </w:r>
          </w:p>
          <w:p>
            <w:pPr>
              <w:spacing w:line="240" w:lineRule="auto"/>
              <w:ind w:right="29" w:rightChars="12"/>
              <w:jc w:val="left"/>
              <w:rPr>
                <w:rFonts w:hint="eastAsia" w:ascii="新宋体" w:hAnsi="新宋体" w:eastAsia="新宋体" w:cs="新宋体"/>
                <w:color w:val="auto"/>
                <w:kern w:val="2"/>
                <w:sz w:val="22"/>
                <w:szCs w:val="22"/>
                <w:highlight w:val="none"/>
                <w:lang w:val="en-US" w:eastAsia="zh-CN" w:bidi="ar-SA"/>
              </w:rPr>
            </w:pPr>
            <w:r>
              <w:rPr>
                <w:rFonts w:hint="eastAsia"/>
                <w:color w:val="auto"/>
                <w:sz w:val="22"/>
                <w:highlight w:val="none"/>
                <w:lang w:val="en-US" w:eastAsia="zh-CN"/>
              </w:rPr>
              <w:t>其中：</w:t>
            </w:r>
            <w:r>
              <w:rPr>
                <w:rFonts w:hint="eastAsia" w:cs="宋体"/>
                <w:color w:val="auto"/>
                <w:kern w:val="0"/>
                <w:sz w:val="22"/>
                <w:szCs w:val="22"/>
                <w:highlight w:val="none"/>
                <w:lang w:val="en-US" w:eastAsia="zh-CN"/>
              </w:rPr>
              <w:t>完全合理：4-5分，基本合理2-3分，个别合理0-1分</w:t>
            </w:r>
            <w:r>
              <w:rPr>
                <w:rFonts w:hint="eastAsia" w:ascii="宋体"/>
                <w:color w:val="auto"/>
                <w:sz w:val="22"/>
                <w:highlight w:val="none"/>
              </w:rPr>
              <w:t>。</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宋体" w:eastAsia="宋体" w:cs="宋体"/>
                <w:color w:val="auto"/>
                <w:sz w:val="22"/>
                <w:highlight w:val="none"/>
                <w:lang w:val="en-US" w:eastAsia="zh-CN"/>
              </w:rPr>
            </w:pPr>
            <w:r>
              <w:rPr>
                <w:rFonts w:hint="eastAsia" w:cs="宋体"/>
                <w:color w:val="auto"/>
                <w:sz w:val="22"/>
                <w:highlight w:val="none"/>
                <w:lang w:val="en-US" w:eastAsia="zh-CN"/>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720" w:type="dxa"/>
            <w:tcBorders>
              <w:left w:val="single" w:color="auto" w:sz="4" w:space="0"/>
              <w:right w:val="single" w:color="auto" w:sz="4" w:space="0"/>
            </w:tcBorders>
            <w:noWrap w:val="0"/>
            <w:vAlign w:val="center"/>
          </w:tcPr>
          <w:p>
            <w:pPr>
              <w:pStyle w:val="20"/>
              <w:spacing w:line="240" w:lineRule="auto"/>
              <w:ind w:left="0" w:leftChars="0" w:firstLine="221" w:firstLineChars="100"/>
              <w:jc w:val="both"/>
              <w:rPr>
                <w:rFonts w:hint="default" w:ascii="宋体" w:cs="宋体"/>
                <w:color w:val="auto"/>
                <w:sz w:val="22"/>
                <w:highlight w:val="none"/>
                <w:lang w:val="en-US" w:eastAsia="zh-CN"/>
              </w:rPr>
            </w:pPr>
            <w:r>
              <w:rPr>
                <w:rFonts w:hint="eastAsia" w:ascii="宋体" w:cs="宋体"/>
                <w:color w:val="auto"/>
                <w:sz w:val="22"/>
                <w:highlight w:val="none"/>
                <w:lang w:val="en-US" w:eastAsia="zh-CN"/>
              </w:rPr>
              <w:t>7</w:t>
            </w:r>
          </w:p>
        </w:tc>
        <w:tc>
          <w:tcPr>
            <w:tcW w:w="1785" w:type="dxa"/>
            <w:tcBorders>
              <w:left w:val="single" w:color="auto" w:sz="4" w:space="0"/>
              <w:right w:val="single" w:color="auto" w:sz="4" w:space="0"/>
            </w:tcBorders>
            <w:noWrap w:val="0"/>
            <w:vAlign w:val="center"/>
          </w:tcPr>
          <w:p>
            <w:pPr>
              <w:pStyle w:val="3"/>
              <w:spacing w:line="240" w:lineRule="auto"/>
              <w:ind w:left="0" w:leftChars="0" w:firstLine="0" w:firstLineChars="0"/>
              <w:jc w:val="center"/>
              <w:rPr>
                <w:rFonts w:hint="default"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系统配置的先进性、完整性和产品技术支持情况</w:t>
            </w:r>
            <w:r>
              <w:rPr>
                <w:rFonts w:hint="eastAsia" w:ascii="宋体" w:hAnsi="宋体"/>
                <w:b w:val="0"/>
                <w:bCs w:val="0"/>
                <w:color w:val="auto"/>
                <w:sz w:val="22"/>
                <w:szCs w:val="22"/>
                <w:highlight w:val="none"/>
              </w:rPr>
              <w:t>（</w:t>
            </w:r>
            <w:r>
              <w:rPr>
                <w:rFonts w:hint="eastAsia" w:ascii="宋体" w:hAnsi="宋体"/>
                <w:b w:val="0"/>
                <w:bCs w:val="0"/>
                <w:color w:val="auto"/>
                <w:sz w:val="22"/>
                <w:szCs w:val="22"/>
                <w:highlight w:val="none"/>
                <w:lang w:val="en-US" w:eastAsia="zh-CN"/>
              </w:rPr>
              <w:t>6</w:t>
            </w:r>
            <w:r>
              <w:rPr>
                <w:rFonts w:hint="eastAsia" w:ascii="宋体" w:hAnsi="宋体"/>
                <w:b w:val="0"/>
                <w:bCs w:val="0"/>
                <w:color w:val="auto"/>
                <w:sz w:val="22"/>
                <w:szCs w:val="22"/>
                <w:highlight w:val="none"/>
              </w:rPr>
              <w:t>分）</w:t>
            </w:r>
          </w:p>
        </w:tc>
        <w:tc>
          <w:tcPr>
            <w:tcW w:w="6354"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right="29" w:rightChars="12"/>
              <w:jc w:val="left"/>
              <w:rPr>
                <w:rFonts w:hint="eastAsia"/>
                <w:color w:val="auto"/>
                <w:highlight w:val="none"/>
                <w:lang w:val="en-US" w:eastAsia="zh-CN"/>
              </w:rPr>
            </w:pPr>
            <w:r>
              <w:rPr>
                <w:rFonts w:hint="eastAsia"/>
                <w:color w:val="auto"/>
                <w:highlight w:val="none"/>
                <w:lang w:val="en-US" w:eastAsia="zh-CN"/>
              </w:rPr>
              <w:t>根据供应商所提供系统配置的先进性、完整性和产品技术支持资料完整、有效性进行评审：</w:t>
            </w:r>
          </w:p>
          <w:p>
            <w:pPr>
              <w:pStyle w:val="2"/>
              <w:rPr>
                <w:rFonts w:hint="default"/>
                <w:color w:val="auto"/>
                <w:highlight w:val="none"/>
                <w:lang w:val="en-US" w:eastAsia="zh-CN"/>
              </w:rPr>
            </w:pPr>
            <w:r>
              <w:rPr>
                <w:rFonts w:hint="eastAsia" w:ascii="新宋体" w:hAnsi="新宋体" w:eastAsia="新宋体" w:cs="新宋体"/>
                <w:color w:val="auto"/>
                <w:sz w:val="22"/>
                <w:szCs w:val="22"/>
                <w:highlight w:val="none"/>
                <w:lang w:val="en-US" w:eastAsia="zh-CN"/>
              </w:rPr>
              <w:t>其中：完全满足采购需求：5-6分；基本满足采购需求得3-4分，个别满足采购需求得0-2分。</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cs="宋体"/>
                <w:color w:val="auto"/>
                <w:sz w:val="22"/>
                <w:highlight w:val="none"/>
                <w:lang w:val="en-US" w:eastAsia="zh-CN"/>
              </w:rPr>
            </w:pPr>
            <w:r>
              <w:rPr>
                <w:rFonts w:hint="eastAsia" w:cs="宋体"/>
                <w:color w:val="auto"/>
                <w:sz w:val="22"/>
                <w:highlight w:val="none"/>
                <w:lang w:val="en-US" w:eastAsia="zh-CN"/>
              </w:rPr>
              <w:t>0-6分</w:t>
            </w:r>
          </w:p>
        </w:tc>
      </w:tr>
    </w:tbl>
    <w:p>
      <w:pPr>
        <w:pStyle w:val="18"/>
        <w:widowControl w:val="0"/>
        <w:adjustRightInd w:val="0"/>
        <w:snapToGrid w:val="0"/>
        <w:spacing w:before="0" w:beforeAutospacing="0" w:after="0" w:afterAutospacing="0" w:line="460" w:lineRule="exact"/>
        <w:jc w:val="both"/>
        <w:rPr>
          <w:rFonts w:hint="eastAsia" w:hAnsi="宋体"/>
          <w:color w:val="auto"/>
          <w:sz w:val="22"/>
          <w:szCs w:val="22"/>
          <w:highlight w:val="none"/>
        </w:rPr>
      </w:pPr>
      <w:r>
        <w:rPr>
          <w:rFonts w:hint="eastAsia" w:hAnsi="宋体"/>
          <w:color w:val="auto"/>
          <w:sz w:val="22"/>
          <w:szCs w:val="22"/>
          <w:highlight w:val="none"/>
        </w:rPr>
        <w:t>三、说明</w:t>
      </w:r>
    </w:p>
    <w:p>
      <w:pPr>
        <w:pStyle w:val="13"/>
        <w:widowControl w:val="0"/>
        <w:adjustRightInd w:val="0"/>
        <w:snapToGrid w:val="0"/>
        <w:spacing w:line="400" w:lineRule="exact"/>
        <w:ind w:firstLine="440" w:firstLineChars="200"/>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1、每个供应商最终得分=商务技术部分分值（所有评标委员会成员的算术平均值）＋报价部分分值。</w:t>
      </w:r>
    </w:p>
    <w:p>
      <w:pPr>
        <w:adjustRightInd w:val="0"/>
        <w:snapToGrid w:val="0"/>
        <w:spacing w:line="400" w:lineRule="exact"/>
        <w:ind w:firstLine="420"/>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2、所有分值计算保留小数点后两位，小数点后三位四舍五入。</w:t>
      </w:r>
    </w:p>
    <w:p>
      <w:pPr>
        <w:adjustRightInd w:val="0"/>
        <w:snapToGrid w:val="0"/>
        <w:spacing w:line="400" w:lineRule="exact"/>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参见本招标文件第三部分：“供应商须知” 中的相关内容，未尽事宜按有关法律规定处理。</w:t>
      </w:r>
    </w:p>
    <w:p>
      <w:pPr>
        <w:adjustRightInd w:val="0"/>
        <w:snapToGrid w:val="0"/>
        <w:spacing w:line="400" w:lineRule="exact"/>
        <w:ind w:firstLine="420"/>
        <w:rPr>
          <w:rFonts w:hint="eastAsia" w:ascii="宋体" w:hAnsi="宋体" w:eastAsia="宋体" w:cs="Times New Roman"/>
          <w:b/>
          <w:bCs/>
          <w:color w:val="auto"/>
          <w:kern w:val="2"/>
          <w:sz w:val="22"/>
          <w:szCs w:val="22"/>
          <w:highlight w:val="none"/>
          <w:lang w:val="en-US" w:eastAsia="zh-CN" w:bidi="ar-SA"/>
        </w:rPr>
      </w:pPr>
      <w:r>
        <w:rPr>
          <w:rFonts w:hint="eastAsia" w:cs="Times New Roman"/>
          <w:b/>
          <w:bCs/>
          <w:color w:val="auto"/>
          <w:kern w:val="2"/>
          <w:sz w:val="22"/>
          <w:szCs w:val="22"/>
          <w:highlight w:val="none"/>
          <w:lang w:val="en-US" w:eastAsia="zh-CN" w:bidi="ar-SA"/>
        </w:rPr>
        <w:t>3.</w:t>
      </w:r>
      <w:r>
        <w:rPr>
          <w:rFonts w:hint="eastAsia" w:ascii="宋体" w:hAnsi="宋体" w:cs="宋体"/>
          <w:b/>
          <w:bCs/>
          <w:color w:val="auto"/>
          <w:szCs w:val="21"/>
          <w:highlight w:val="none"/>
        </w:rPr>
        <w:t>▲</w:t>
      </w:r>
      <w:r>
        <w:rPr>
          <w:rFonts w:hint="eastAsia" w:ascii="宋体" w:hAnsi="宋体" w:eastAsia="宋体" w:cs="Times New Roman"/>
          <w:b/>
          <w:bCs/>
          <w:color w:val="auto"/>
          <w:kern w:val="2"/>
          <w:sz w:val="22"/>
          <w:szCs w:val="22"/>
          <w:highlight w:val="none"/>
          <w:lang w:val="en-US" w:eastAsia="zh-CN" w:bidi="ar-SA"/>
        </w:rPr>
        <w:t>现场演示</w:t>
      </w:r>
      <w:r>
        <w:rPr>
          <w:rFonts w:hint="eastAsia" w:cs="Times New Roman"/>
          <w:b/>
          <w:bCs/>
          <w:color w:val="auto"/>
          <w:kern w:val="2"/>
          <w:sz w:val="22"/>
          <w:szCs w:val="22"/>
          <w:highlight w:val="none"/>
          <w:lang w:val="en-US" w:eastAsia="zh-CN" w:bidi="ar-SA"/>
        </w:rPr>
        <w:t>具体要求</w:t>
      </w:r>
      <w:r>
        <w:rPr>
          <w:rFonts w:hint="eastAsia" w:ascii="宋体" w:hAnsi="宋体" w:eastAsia="宋体" w:cs="Times New Roman"/>
          <w:b/>
          <w:bCs/>
          <w:color w:val="auto"/>
          <w:kern w:val="2"/>
          <w:sz w:val="22"/>
          <w:szCs w:val="22"/>
          <w:highlight w:val="none"/>
          <w:lang w:val="en-US" w:eastAsia="zh-CN" w:bidi="ar-SA"/>
        </w:rPr>
        <w:t>：</w:t>
      </w:r>
    </w:p>
    <w:p>
      <w:pPr>
        <w:adjustRightInd w:val="0"/>
        <w:snapToGrid w:val="0"/>
        <w:spacing w:line="400" w:lineRule="exact"/>
        <w:ind w:firstLine="420"/>
        <w:rPr>
          <w:rFonts w:hint="eastAsia" w:cs="宋体"/>
          <w:b/>
          <w:bCs/>
          <w:color w:val="auto"/>
          <w:kern w:val="0"/>
          <w:sz w:val="22"/>
          <w:szCs w:val="22"/>
          <w:highlight w:val="none"/>
          <w:lang w:val="en-US" w:eastAsia="zh-CN"/>
        </w:rPr>
      </w:pPr>
      <w:r>
        <w:rPr>
          <w:rFonts w:hint="eastAsia" w:cs="Times New Roman"/>
          <w:b/>
          <w:bCs/>
          <w:color w:val="auto"/>
          <w:kern w:val="2"/>
          <w:sz w:val="22"/>
          <w:szCs w:val="22"/>
          <w:highlight w:val="none"/>
          <w:lang w:val="en-US" w:eastAsia="zh-CN" w:bidi="ar-SA"/>
        </w:rPr>
        <w:t>3.1本次采购评标细则中涉及演示部分，须投标人授权代表现场进行软件演示，</w:t>
      </w:r>
      <w:r>
        <w:rPr>
          <w:rFonts w:hint="eastAsia" w:cs="宋体"/>
          <w:b/>
          <w:bCs/>
          <w:color w:val="auto"/>
          <w:kern w:val="0"/>
          <w:sz w:val="22"/>
          <w:szCs w:val="22"/>
          <w:highlight w:val="none"/>
          <w:lang w:val="en-US" w:eastAsia="zh-CN"/>
        </w:rPr>
        <w:t>按照功能模块</w:t>
      </w:r>
      <w:r>
        <w:rPr>
          <w:rFonts w:hint="eastAsia" w:ascii="宋体" w:hAnsi="宋体"/>
          <w:b/>
          <w:bCs/>
          <w:color w:val="auto"/>
          <w:sz w:val="22"/>
          <w:szCs w:val="22"/>
          <w:highlight w:val="none"/>
          <w:lang w:val="en-US" w:eastAsia="zh-CN"/>
        </w:rPr>
        <w:t>提供项目实例或软件原型演示</w:t>
      </w:r>
      <w:r>
        <w:rPr>
          <w:rFonts w:hint="eastAsia" w:cs="宋体"/>
          <w:b/>
          <w:bCs/>
          <w:color w:val="auto"/>
          <w:kern w:val="0"/>
          <w:sz w:val="22"/>
          <w:szCs w:val="22"/>
          <w:highlight w:val="none"/>
          <w:lang w:val="en-US" w:eastAsia="zh-CN"/>
        </w:rPr>
        <w:t>，演示内容包括但不限于医院能源消耗总览、中央空调监测、变配电系统监测、生活水泵房供水监测、设备全生命周期管理等内容。各演示功能点须明确清晰，上述功能在同一平台演示体现。</w:t>
      </w:r>
    </w:p>
    <w:p>
      <w:pPr>
        <w:adjustRightInd w:val="0"/>
        <w:snapToGrid w:val="0"/>
        <w:spacing w:line="400" w:lineRule="exact"/>
        <w:ind w:firstLine="420"/>
        <w:rPr>
          <w:rFonts w:hint="default" w:ascii="宋体" w:hAnsi="宋体" w:eastAsia="宋体" w:cs="Times New Roman"/>
          <w:color w:val="auto"/>
          <w:kern w:val="2"/>
          <w:sz w:val="22"/>
          <w:szCs w:val="22"/>
          <w:highlight w:val="none"/>
          <w:lang w:val="en-US" w:eastAsia="zh-CN" w:bidi="ar-SA"/>
        </w:rPr>
      </w:pPr>
      <w:r>
        <w:rPr>
          <w:rFonts w:hint="eastAsia" w:cs="Times New Roman"/>
          <w:b/>
          <w:bCs/>
          <w:color w:val="auto"/>
          <w:kern w:val="2"/>
          <w:sz w:val="22"/>
          <w:szCs w:val="22"/>
          <w:highlight w:val="none"/>
          <w:lang w:val="en-US" w:eastAsia="zh-CN" w:bidi="ar-SA"/>
        </w:rPr>
        <w:t>3.2</w:t>
      </w:r>
      <w:r>
        <w:rPr>
          <w:rFonts w:hint="eastAsia" w:cs="宋体"/>
          <w:b/>
          <w:bCs/>
          <w:color w:val="auto"/>
          <w:kern w:val="0"/>
          <w:sz w:val="22"/>
          <w:szCs w:val="22"/>
          <w:highlight w:val="none"/>
          <w:lang w:val="en-US" w:eastAsia="zh-CN"/>
        </w:rPr>
        <w:t>演示在上午10.30准时开始，演示顺序按投标文件解密的先后顺序依次进行，各投标人演示时间不得超过15分钟，超时停止，</w:t>
      </w:r>
      <w:r>
        <w:rPr>
          <w:rFonts w:hint="eastAsia" w:ascii="宋体" w:hAnsi="宋体"/>
          <w:b/>
          <w:bCs/>
          <w:color w:val="auto"/>
          <w:sz w:val="22"/>
          <w:szCs w:val="22"/>
          <w:highlight w:val="none"/>
          <w:lang w:val="en-US" w:eastAsia="zh-CN"/>
        </w:rPr>
        <w:t>不提供</w:t>
      </w:r>
      <w:r>
        <w:rPr>
          <w:rFonts w:hint="eastAsia"/>
          <w:b/>
          <w:bCs/>
          <w:color w:val="auto"/>
          <w:sz w:val="22"/>
          <w:szCs w:val="22"/>
          <w:highlight w:val="none"/>
          <w:lang w:val="en-US" w:eastAsia="zh-CN"/>
        </w:rPr>
        <w:t>现场演示则该项</w:t>
      </w:r>
      <w:r>
        <w:rPr>
          <w:rFonts w:hint="eastAsia" w:ascii="宋体" w:hAnsi="宋体"/>
          <w:b/>
          <w:bCs/>
          <w:color w:val="auto"/>
          <w:sz w:val="22"/>
          <w:szCs w:val="22"/>
          <w:highlight w:val="none"/>
          <w:lang w:val="en-US" w:eastAsia="zh-CN"/>
        </w:rPr>
        <w:t>不得分。</w:t>
      </w:r>
    </w:p>
    <w:p>
      <w:pPr>
        <w:pageBreakBefore/>
        <w:jc w:val="center"/>
        <w:rPr>
          <w:rFonts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质疑函范本</w:t>
      </w:r>
    </w:p>
    <w:p>
      <w:pPr>
        <w:adjustRightInd w:val="0"/>
        <w:snapToGrid w:val="0"/>
        <w:spacing w:before="240" w:beforeLines="100" w:line="360" w:lineRule="auto"/>
        <w:rPr>
          <w:rFonts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一、质疑供应商基本信息</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r>
        <w:rPr>
          <w:rFonts w:ascii="仿宋" w:hAnsi="仿宋" w:eastAsia="仿宋" w:cs="仿宋"/>
          <w:color w:val="auto"/>
          <w:sz w:val="32"/>
          <w:szCs w:val="32"/>
          <w:highlight w:val="none"/>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二、质疑项目基本情况</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包号：</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三、质疑事项具体内容</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事实依据：</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pPr>
        <w:adjustRightInd w:val="0"/>
        <w:snapToGrid w:val="0"/>
        <w:spacing w:line="360" w:lineRule="auto"/>
        <w:rPr>
          <w:rFonts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四、与质疑事项相关的质疑请求</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r>
        <w:rPr>
          <w:rFonts w:hint="eastAsia" w:ascii="仿宋" w:hAnsi="仿宋" w:eastAsia="仿宋" w:cs="仿宋"/>
          <w:color w:val="auto"/>
          <w:sz w:val="32"/>
          <w:szCs w:val="32"/>
          <w:highlight w:val="none"/>
          <w:u w:val="dotted"/>
        </w:rPr>
        <w:t xml:space="preserve">                                               </w:t>
      </w:r>
    </w:p>
    <w:p>
      <w:pPr>
        <w:rPr>
          <w:rFonts w:ascii="仿宋_GB2312" w:eastAsia="仿宋_GB2312"/>
          <w:color w:val="auto"/>
          <w:sz w:val="30"/>
          <w:szCs w:val="30"/>
          <w:highlight w:val="none"/>
        </w:rPr>
      </w:pPr>
      <w:r>
        <w:rPr>
          <w:rFonts w:hint="eastAsia" w:ascii="仿宋_GB2312" w:eastAsia="仿宋_GB2312"/>
          <w:color w:val="auto"/>
          <w:sz w:val="30"/>
          <w:szCs w:val="30"/>
          <w:highlight w:val="none"/>
        </w:rPr>
        <w:t xml:space="preserve">签字(签章)：                   公章：                      </w:t>
      </w:r>
    </w:p>
    <w:p>
      <w:pPr>
        <w:rPr>
          <w:rFonts w:ascii="仿宋_GB2312" w:eastAsia="仿宋_GB2312"/>
          <w:color w:val="auto"/>
          <w:sz w:val="30"/>
          <w:szCs w:val="30"/>
          <w:highlight w:val="none"/>
        </w:rPr>
      </w:pPr>
      <w:r>
        <w:rPr>
          <w:rFonts w:hint="eastAsia" w:ascii="仿宋_GB2312" w:eastAsia="仿宋_GB2312"/>
          <w:color w:val="auto"/>
          <w:sz w:val="30"/>
          <w:szCs w:val="30"/>
          <w:highlight w:val="none"/>
        </w:rPr>
        <w:t xml:space="preserve">日期：    </w:t>
      </w:r>
    </w:p>
    <w:p>
      <w:pPr>
        <w:adjustRightInd w:val="0"/>
        <w:snapToGrid w:val="0"/>
        <w:spacing w:line="360" w:lineRule="auto"/>
        <w:rPr>
          <w:rFonts w:ascii="仿宋" w:hAnsi="仿宋" w:eastAsia="仿宋" w:cs="仿宋"/>
          <w:color w:val="auto"/>
          <w:sz w:val="32"/>
          <w:szCs w:val="32"/>
          <w:highlight w:val="none"/>
        </w:rPr>
      </w:pPr>
    </w:p>
    <w:p>
      <w:pPr>
        <w:adjustRightInd w:val="0"/>
        <w:snapToGrid w:val="0"/>
        <w:spacing w:line="360" w:lineRule="auto"/>
        <w:rPr>
          <w:rFonts w:ascii="仿宋" w:hAnsi="仿宋" w:eastAsia="仿宋" w:cs="仿宋"/>
          <w:color w:val="auto"/>
          <w:sz w:val="32"/>
          <w:szCs w:val="32"/>
          <w:highlight w:val="none"/>
        </w:rPr>
      </w:pPr>
    </w:p>
    <w:p>
      <w:pPr>
        <w:jc w:val="center"/>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jc w:val="both"/>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rPr>
          <w:rFonts w:ascii="黑体" w:hAnsi="黑体" w:eastAsia="黑体"/>
          <w:b/>
          <w:color w:val="auto"/>
          <w:sz w:val="32"/>
          <w:szCs w:val="32"/>
          <w:highlight w:val="none"/>
        </w:rPr>
      </w:pPr>
      <w:r>
        <w:rPr>
          <w:rFonts w:hint="eastAsia" w:ascii="黑体" w:hAnsi="黑体" w:eastAsia="黑体"/>
          <w:b/>
          <w:color w:val="auto"/>
          <w:sz w:val="32"/>
          <w:szCs w:val="32"/>
          <w:highlight w:val="none"/>
        </w:rPr>
        <w:t>质疑函制作说明：</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1.供应商提出质疑时，应提交质疑函和必要的证明材料。</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3.质疑供应商若对项目的某一分包进行质疑，质疑函中应列明具体分包号。</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4.质疑函的质疑事项应具体、明确，并有必要的事实依据和法律依据。</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5.质疑函的质疑请求应与质疑事项相关。</w:t>
      </w:r>
    </w:p>
    <w:p>
      <w:pPr>
        <w:ind w:firstLine="640" w:firstLineChars="200"/>
        <w:rPr>
          <w:rFonts w:hint="eastAsia"/>
          <w:color w:val="auto"/>
          <w:highlight w:val="none"/>
        </w:rPr>
      </w:pPr>
      <w:r>
        <w:rPr>
          <w:rFonts w:hint="eastAsia" w:ascii="仿宋_GB2312" w:eastAsia="仿宋_GB2312"/>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p>
      <w:pPr>
        <w:pStyle w:val="10"/>
        <w:adjustRightInd w:val="0"/>
        <w:snapToGrid w:val="0"/>
        <w:spacing w:line="400" w:lineRule="exact"/>
        <w:jc w:val="center"/>
        <w:rPr>
          <w:rFonts w:hint="eastAsia"/>
          <w:color w:val="auto"/>
          <w:highlight w:val="none"/>
        </w:rPr>
      </w:pPr>
    </w:p>
    <w:p>
      <w:pPr>
        <w:rPr>
          <w:rFonts w:hint="eastAsia" w:eastAsiaTheme="minorEastAsia"/>
          <w:color w:val="auto"/>
          <w:highlight w:val="none"/>
          <w:lang w:eastAsia="zh-CN"/>
        </w:rPr>
      </w:pPr>
    </w:p>
    <w:sectPr>
      <w:footerReference r:id="rId12" w:type="first"/>
      <w:headerReference r:id="rId9" w:type="default"/>
      <w:footerReference r:id="rId10" w:type="default"/>
      <w:footerReference r:id="rId11" w:type="even"/>
      <w:pgSz w:w="11906" w:h="16838"/>
      <w:pgMar w:top="1440" w:right="1361" w:bottom="1440" w:left="136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Cambria">
    <w:altName w:val="Segoe Print"/>
    <w:panose1 w:val="02040503050406030204"/>
    <w:charset w:val="00"/>
    <w:family w:val="roman"/>
    <w:pitch w:val="default"/>
    <w:sig w:usb0="00000000" w:usb1="00000000"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Unicode MS">
    <w:panose1 w:val="020B0604020202020204"/>
    <w:charset w:val="86"/>
    <w:family w:val="roman"/>
    <w:pitch w:val="default"/>
    <w:sig w:usb0="FFFFFFFF" w:usb1="E9FFFFFF" w:usb2="0000003F" w:usb3="00000000" w:csb0="603F01FF" w:csb1="FFFF0000"/>
  </w:font>
  <w:font w:name="楷体_GB2312">
    <w:altName w:val="楷体"/>
    <w:panose1 w:val="00000000000000000000"/>
    <w:charset w:val="86"/>
    <w:family w:val="modern"/>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等线">
    <w:altName w:val="Arial Unicode MS"/>
    <w:panose1 w:val="02010600030101010101"/>
    <w:charset w:val="86"/>
    <w:family w:val="auto"/>
    <w:pitch w:val="default"/>
    <w:sig w:usb0="00000000" w:usb1="00000000"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仿宋_GBK">
    <w:altName w:val="宋体"/>
    <w:panose1 w:val="00000000000000000000"/>
    <w:charset w:val="86"/>
    <w:family w:val="roman"/>
    <w:pitch w:val="default"/>
    <w:sig w:usb0="00000000" w:usb1="00000000" w:usb2="00000010" w:usb3="00000000" w:csb0="00040000" w:csb1="00000000"/>
  </w:font>
  <w:font w:name="Century Gothic">
    <w:panose1 w:val="020B0502020202020204"/>
    <w:charset w:val="00"/>
    <w:family w:val="swiss"/>
    <w:pitch w:val="default"/>
    <w:sig w:usb0="00000287"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3"/>
      </w:rPr>
    </w:pPr>
    <w:r>
      <w:fldChar w:fldCharType="begin"/>
    </w:r>
    <w:r>
      <w:rPr>
        <w:rStyle w:val="23"/>
      </w:rPr>
      <w:instrText xml:space="preserve">PAGE  </w:instrText>
    </w:r>
    <w:r>
      <w:fldChar w:fldCharType="separate"/>
    </w:r>
    <w:r>
      <w:rPr>
        <w:rStyle w:val="23"/>
      </w:rPr>
      <w:t>73</w:t>
    </w:r>
    <w:r>
      <w:fldChar w:fldCharType="end"/>
    </w:r>
  </w:p>
  <w:p>
    <w:pPr>
      <w:pStyle w:val="14"/>
      <w:jc w:val="right"/>
      <w:rPr>
        <w:rFonts w:hint="eastAsia"/>
      </w:rPr>
    </w:pP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h5hzU9UAAAAIAQAADwAAAAAAAAABACAAAAAiAAAAZHJzL2Rvd25yZXYueG1s&#10;UEsBAhQAFAAAAAgAh07iQMnl6j77AQAA7gMAAA4AAAAAAAAAAQAgAAAAJAEAAGRycy9lMm9Eb2Mu&#10;eG1sUEsFBgAAAAAGAAYAWQEAAJEFAAAAAA==&#10;">
              <v:fill on="f" focussize="0,0"/>
              <v:stroke color="#000000" joinstyle="round"/>
              <v:imagedata o:title=""/>
              <o:lock v:ext="edit" aspectratio="f"/>
            </v:line>
          </w:pict>
        </mc:Fallback>
      </mc:AlternateContent>
    </w:r>
    <w:r>
      <w:rPr>
        <w:rFonts w:hint="eastAsia"/>
        <w:shd w:val="pct10" w:color="auto" w:fill="FFFFFF"/>
      </w:rPr>
      <w:t>浙江名进建设项目管理有限公司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3"/>
      </w:rPr>
    </w:pPr>
    <w:r>
      <w:fldChar w:fldCharType="begin"/>
    </w:r>
    <w:r>
      <w:rPr>
        <w:rStyle w:val="23"/>
      </w:rPr>
      <w:instrText xml:space="preserve">PAGE  </w:instrText>
    </w:r>
    <w:r>
      <w:fldChar w:fldCharType="separate"/>
    </w:r>
    <w:r>
      <w:rPr>
        <w:rStyle w:val="23"/>
      </w:rPr>
      <w:t>86</w:t>
    </w:r>
    <w:r>
      <w:fldChar w:fldCharType="end"/>
    </w:r>
  </w:p>
  <w:p>
    <w:pPr>
      <w:pStyle w:val="14"/>
      <w:jc w:val="right"/>
      <w:rPr>
        <w:rFonts w:hint="eastAsia"/>
      </w:rPr>
    </w:pPr>
    <w: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2" name="直接连接符 2"/>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5.25pt;margin-top:-2.8pt;height:0pt;width:467.25pt;z-index:251660288;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IeYc1PVAAAACAEAAA8AAAAAAAAAAQAgAAAAIgAAAGRycy9kb3ducmV2Lnht&#10;bFBLAQIUABQAAAAIAIdO4kDVeDUc/AEAAO4DAAAOAAAAAAAAAAEAIAAAACQBAABkcnMvZTJvRG9j&#10;LnhtbFBLBQYAAAAABgAGAFkBAACSBQAAAAA=&#10;">
              <v:fill on="f" focussize="0,0"/>
              <v:stroke color="#000000" joinstyle="round"/>
              <v:imagedata o:title=""/>
              <o:lock v:ext="edit" aspectratio="f"/>
            </v:line>
          </w:pict>
        </mc:Fallback>
      </mc:AlternateContent>
    </w:r>
    <w:r>
      <w:rPr>
        <w:rFonts w:hint="eastAsia"/>
        <w:shd w:val="pct10" w:color="auto" w:fill="FFFFFF"/>
      </w:rPr>
      <w:t>浙江嘉晟工程项目管理有限公司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3"/>
      </w:rPr>
    </w:pPr>
    <w:r>
      <w:fldChar w:fldCharType="begin"/>
    </w:r>
    <w:r>
      <w:rPr>
        <w:rStyle w:val="23"/>
      </w:rPr>
      <w:instrText xml:space="preserve">PAGE  </w:instrText>
    </w:r>
    <w:r>
      <w:fldChar w:fldCharType="separate"/>
    </w:r>
    <w:r>
      <w:rPr>
        <w:rStyle w:val="23"/>
      </w:rPr>
      <w:t>98</w:t>
    </w:r>
    <w:r>
      <w:fldChar w:fldCharType="end"/>
    </w:r>
  </w:p>
  <w:p>
    <w:pPr>
      <w:pStyle w:val="14"/>
      <w:jc w:val="right"/>
      <w:rPr>
        <w:rFonts w:hint="eastAsia"/>
      </w:rPr>
    </w:pPr>
    <w:r>
      <w:rPr>
        <w:kern w:val="0"/>
        <w:szCs w:val="21"/>
        <w:shd w:val="pct10" w:color="auto" w:fill="FFFFFF"/>
      </w:rPr>
      <w:t xml:space="preserve">- </w:t>
    </w:r>
    <w:r>
      <mc:AlternateContent>
        <mc:Choice Requires="wps">
          <w:drawing>
            <wp:anchor distT="0" distB="0" distL="114300" distR="114300" simplePos="0" relativeHeight="251662336"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3" name="直接连接符 3"/>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5.25pt;margin-top:-2.8pt;height:0pt;width:467.25pt;z-index:251662336;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mHNT1QAAAAgBAAAPAAAAAAAAAAEAIAAAACIAAABkcnMvZG93bnJldi54&#10;bWxQSwECFAAUAAAACACHTuJAHg6vtP0BAADuAwAADgAAAAAAAAABACAAAAAkAQAAZHJzL2Uyb0Rv&#10;Yy54bWxQSwUGAAAAAAYABgBZAQAAkwUAAAAA&#10;">
              <v:fill on="f" focussize="0,0"/>
              <v:stroke color="#000000" joinstyle="round"/>
              <v:imagedata o:title=""/>
              <o:lock v:ext="edit" aspectratio="f"/>
            </v:line>
          </w:pict>
        </mc:Fallback>
      </mc:AlternateContent>
    </w:r>
    <w:r>
      <w:rPr>
        <w:rFonts w:hint="eastAsia"/>
        <w:shd w:val="pct10" w:color="auto" w:fill="FFFFFF"/>
      </w:rPr>
      <w:t>浙江名进建设项目管理有限公司</w:t>
    </w:r>
  </w:p>
  <w:p>
    <w:pPr>
      <w:pStyle w:val="14"/>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3"/>
      </w:rPr>
    </w:pPr>
    <w:r>
      <w:fldChar w:fldCharType="begin"/>
    </w:r>
    <w:r>
      <w:rPr>
        <w:rStyle w:val="23"/>
      </w:rPr>
      <w:instrText xml:space="preserve">PAGE  </w:instrText>
    </w:r>
    <w:r>
      <w:fldChar w:fldCharType="end"/>
    </w:r>
  </w:p>
  <w:p>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hd w:val="clear" w:color="auto" w:fill="FFFFFF"/>
      <w:jc w:val="both"/>
      <w:rPr>
        <w:rFonts w:hint="eastAsia"/>
      </w:rPr>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hd w:val="clear" w:color="auto" w:fill="FFFFFF"/>
      <w:jc w:val="both"/>
      <w:rPr>
        <w:rFonts w:hint="eastAsia"/>
      </w:rPr>
    </w:pPr>
    <w:r>
      <w:rPr>
        <w:rFonts w:hint="eastAsia"/>
        <w:shd w:val="pct10" w:color="auto" w:fill="FFFFFF"/>
      </w:rPr>
      <w:t>平阳县公共资源交易中心招标文件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hd w:val="clear" w:color="auto" w:fill="FFFFFF"/>
      <w:jc w:val="both"/>
      <w:rPr>
        <w:rFonts w:hint="eastAsia"/>
      </w:rPr>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AB9BE3"/>
    <w:multiLevelType w:val="singleLevel"/>
    <w:tmpl w:val="9FAB9BE3"/>
    <w:lvl w:ilvl="0" w:tentative="0">
      <w:start w:val="1"/>
      <w:numFmt w:val="decimal"/>
      <w:suff w:val="nothing"/>
      <w:lvlText w:val="（%1）"/>
      <w:lvlJc w:val="left"/>
    </w:lvl>
  </w:abstractNum>
  <w:abstractNum w:abstractNumId="1">
    <w:nsid w:val="A0AFE809"/>
    <w:multiLevelType w:val="singleLevel"/>
    <w:tmpl w:val="A0AFE809"/>
    <w:lvl w:ilvl="0" w:tentative="0">
      <w:start w:val="1"/>
      <w:numFmt w:val="bullet"/>
      <w:lvlText w:val=""/>
      <w:lvlJc w:val="left"/>
      <w:pPr>
        <w:ind w:left="420" w:hanging="420"/>
      </w:pPr>
      <w:rPr>
        <w:rFonts w:hint="default" w:ascii="Wingdings" w:hAnsi="Wingdings"/>
      </w:rPr>
    </w:lvl>
  </w:abstractNum>
  <w:abstractNum w:abstractNumId="2">
    <w:nsid w:val="A6AD1071"/>
    <w:multiLevelType w:val="singleLevel"/>
    <w:tmpl w:val="A6AD1071"/>
    <w:lvl w:ilvl="0" w:tentative="0">
      <w:start w:val="1"/>
      <w:numFmt w:val="bullet"/>
      <w:lvlText w:val=""/>
      <w:lvlJc w:val="left"/>
      <w:pPr>
        <w:ind w:left="420" w:hanging="420"/>
      </w:pPr>
      <w:rPr>
        <w:rFonts w:hint="default" w:ascii="Wingdings" w:hAnsi="Wingdings"/>
      </w:rPr>
    </w:lvl>
  </w:abstractNum>
  <w:abstractNum w:abstractNumId="3">
    <w:nsid w:val="BF366821"/>
    <w:multiLevelType w:val="singleLevel"/>
    <w:tmpl w:val="BF366821"/>
    <w:lvl w:ilvl="0" w:tentative="0">
      <w:start w:val="4"/>
      <w:numFmt w:val="decimal"/>
      <w:suff w:val="nothing"/>
      <w:lvlText w:val="%1、"/>
      <w:lvlJc w:val="left"/>
    </w:lvl>
  </w:abstractNum>
  <w:abstractNum w:abstractNumId="4">
    <w:nsid w:val="BF667DF0"/>
    <w:multiLevelType w:val="singleLevel"/>
    <w:tmpl w:val="BF667DF0"/>
    <w:lvl w:ilvl="0" w:tentative="0">
      <w:start w:val="1"/>
      <w:numFmt w:val="decimal"/>
      <w:lvlText w:val="%1."/>
      <w:lvlJc w:val="left"/>
      <w:pPr>
        <w:tabs>
          <w:tab w:val="left" w:pos="312"/>
        </w:tabs>
      </w:pPr>
    </w:lvl>
  </w:abstractNum>
  <w:abstractNum w:abstractNumId="5">
    <w:nsid w:val="D6CD8095"/>
    <w:multiLevelType w:val="singleLevel"/>
    <w:tmpl w:val="D6CD8095"/>
    <w:lvl w:ilvl="0" w:tentative="0">
      <w:start w:val="1"/>
      <w:numFmt w:val="bullet"/>
      <w:lvlText w:val=""/>
      <w:lvlJc w:val="left"/>
      <w:pPr>
        <w:ind w:left="420" w:hanging="420"/>
      </w:pPr>
      <w:rPr>
        <w:rFonts w:hint="default" w:ascii="Wingdings" w:hAnsi="Wingdings"/>
      </w:rPr>
    </w:lvl>
  </w:abstractNum>
  <w:abstractNum w:abstractNumId="6">
    <w:nsid w:val="F9224707"/>
    <w:multiLevelType w:val="singleLevel"/>
    <w:tmpl w:val="F9224707"/>
    <w:lvl w:ilvl="0" w:tentative="0">
      <w:start w:val="2"/>
      <w:numFmt w:val="chineseCounting"/>
      <w:suff w:val="nothing"/>
      <w:lvlText w:val="%1、"/>
      <w:lvlJc w:val="left"/>
      <w:rPr>
        <w:rFonts w:hint="eastAsia"/>
      </w:rPr>
    </w:lvl>
  </w:abstractNum>
  <w:abstractNum w:abstractNumId="7">
    <w:nsid w:val="FE34786D"/>
    <w:multiLevelType w:val="singleLevel"/>
    <w:tmpl w:val="FE34786D"/>
    <w:lvl w:ilvl="0" w:tentative="0">
      <w:start w:val="1"/>
      <w:numFmt w:val="bullet"/>
      <w:lvlText w:val=""/>
      <w:lvlJc w:val="left"/>
      <w:pPr>
        <w:ind w:left="420" w:hanging="420"/>
      </w:pPr>
      <w:rPr>
        <w:rFonts w:hint="default" w:ascii="Wingdings" w:hAnsi="Wingdings"/>
      </w:rPr>
    </w:lvl>
  </w:abstractNum>
  <w:abstractNum w:abstractNumId="8">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9">
    <w:nsid w:val="3C7961EF"/>
    <w:multiLevelType w:val="singleLevel"/>
    <w:tmpl w:val="3C7961EF"/>
    <w:lvl w:ilvl="0" w:tentative="0">
      <w:start w:val="1"/>
      <w:numFmt w:val="bullet"/>
      <w:lvlText w:val=""/>
      <w:lvlJc w:val="left"/>
      <w:pPr>
        <w:ind w:left="420" w:hanging="420"/>
      </w:pPr>
      <w:rPr>
        <w:rFonts w:hint="default" w:ascii="Wingdings" w:hAnsi="Wingdings"/>
      </w:rPr>
    </w:lvl>
  </w:abstractNum>
  <w:abstractNum w:abstractNumId="10">
    <w:nsid w:val="4334E990"/>
    <w:multiLevelType w:val="singleLevel"/>
    <w:tmpl w:val="4334E990"/>
    <w:lvl w:ilvl="0" w:tentative="0">
      <w:start w:val="1"/>
      <w:numFmt w:val="decimalEnclosedCircleChinese"/>
      <w:suff w:val="nothing"/>
      <w:lvlText w:val="%1　"/>
      <w:lvlJc w:val="left"/>
      <w:pPr>
        <w:ind w:left="0" w:firstLine="400"/>
      </w:pPr>
      <w:rPr>
        <w:rFonts w:hint="eastAsia"/>
      </w:rPr>
    </w:lvl>
  </w:abstractNum>
  <w:abstractNum w:abstractNumId="11">
    <w:nsid w:val="4B4BBB16"/>
    <w:multiLevelType w:val="singleLevel"/>
    <w:tmpl w:val="4B4BBB16"/>
    <w:lvl w:ilvl="0" w:tentative="0">
      <w:start w:val="2"/>
      <w:numFmt w:val="decimalEnclosedCircleChinese"/>
      <w:suff w:val="nothing"/>
      <w:lvlText w:val="%1　"/>
      <w:lvlJc w:val="left"/>
      <w:pPr>
        <w:ind w:left="0" w:firstLine="403"/>
      </w:pPr>
      <w:rPr>
        <w:rFonts w:hint="eastAsia"/>
      </w:rPr>
    </w:lvl>
  </w:abstractNum>
  <w:abstractNum w:abstractNumId="12">
    <w:nsid w:val="4CABF52B"/>
    <w:multiLevelType w:val="singleLevel"/>
    <w:tmpl w:val="4CABF52B"/>
    <w:lvl w:ilvl="0" w:tentative="0">
      <w:start w:val="1"/>
      <w:numFmt w:val="decimal"/>
      <w:suff w:val="nothing"/>
      <w:lvlText w:val="%1）"/>
      <w:lvlJc w:val="left"/>
    </w:lvl>
  </w:abstractNum>
  <w:abstractNum w:abstractNumId="13">
    <w:nsid w:val="7292551E"/>
    <w:multiLevelType w:val="singleLevel"/>
    <w:tmpl w:val="7292551E"/>
    <w:lvl w:ilvl="0" w:tentative="0">
      <w:start w:val="1"/>
      <w:numFmt w:val="bullet"/>
      <w:lvlText w:val=""/>
      <w:lvlJc w:val="left"/>
      <w:pPr>
        <w:ind w:left="420" w:hanging="420"/>
      </w:pPr>
      <w:rPr>
        <w:rFonts w:hint="default" w:ascii="Wingdings" w:hAnsi="Wingdings"/>
      </w:rPr>
    </w:lvl>
  </w:abstractNum>
  <w:num w:numId="1">
    <w:abstractNumId w:val="8"/>
  </w:num>
  <w:num w:numId="2">
    <w:abstractNumId w:val="0"/>
  </w:num>
  <w:num w:numId="3">
    <w:abstractNumId w:val="6"/>
  </w:num>
  <w:num w:numId="4">
    <w:abstractNumId w:val="10"/>
  </w:num>
  <w:num w:numId="5">
    <w:abstractNumId w:val="4"/>
  </w:num>
  <w:num w:numId="6">
    <w:abstractNumId w:val="11"/>
  </w:num>
  <w:num w:numId="7">
    <w:abstractNumId w:val="13"/>
  </w:num>
  <w:num w:numId="8">
    <w:abstractNumId w:val="5"/>
  </w:num>
  <w:num w:numId="9">
    <w:abstractNumId w:val="1"/>
  </w:num>
  <w:num w:numId="10">
    <w:abstractNumId w:val="9"/>
  </w:num>
  <w:num w:numId="11">
    <w:abstractNumId w:val="7"/>
  </w:num>
  <w:num w:numId="12">
    <w:abstractNumId w:val="2"/>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C6E18"/>
    <w:rsid w:val="00543C0C"/>
    <w:rsid w:val="014D61DA"/>
    <w:rsid w:val="021D24CF"/>
    <w:rsid w:val="0A130236"/>
    <w:rsid w:val="0BBB27DB"/>
    <w:rsid w:val="11037B64"/>
    <w:rsid w:val="113E55D4"/>
    <w:rsid w:val="12334208"/>
    <w:rsid w:val="14951E5C"/>
    <w:rsid w:val="19FA0230"/>
    <w:rsid w:val="1B66312E"/>
    <w:rsid w:val="1DCE5ACA"/>
    <w:rsid w:val="25BB555E"/>
    <w:rsid w:val="25E82842"/>
    <w:rsid w:val="27E71C2B"/>
    <w:rsid w:val="2953390A"/>
    <w:rsid w:val="2A7D6FA1"/>
    <w:rsid w:val="31904F90"/>
    <w:rsid w:val="380C0F65"/>
    <w:rsid w:val="382179EC"/>
    <w:rsid w:val="383E10AA"/>
    <w:rsid w:val="40ED6349"/>
    <w:rsid w:val="4BBD1F73"/>
    <w:rsid w:val="4C564C06"/>
    <w:rsid w:val="4FBA61CF"/>
    <w:rsid w:val="522C2FCC"/>
    <w:rsid w:val="53D91DFE"/>
    <w:rsid w:val="54CF28DA"/>
    <w:rsid w:val="577E062D"/>
    <w:rsid w:val="585F5F4F"/>
    <w:rsid w:val="597644E5"/>
    <w:rsid w:val="623300A2"/>
    <w:rsid w:val="630C4B43"/>
    <w:rsid w:val="67FB02DE"/>
    <w:rsid w:val="6BBE4A82"/>
    <w:rsid w:val="6C7459B6"/>
    <w:rsid w:val="6FEC6E18"/>
    <w:rsid w:val="72526E53"/>
    <w:rsid w:val="7C4E6917"/>
    <w:rsid w:val="7D1E22CB"/>
    <w:rsid w:val="7E9D19D4"/>
    <w:rsid w:val="7FDB7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5">
    <w:name w:val="heading 2"/>
    <w:basedOn w:val="1"/>
    <w:next w:val="1"/>
    <w:qFormat/>
    <w:uiPriority w:val="9"/>
    <w:pPr>
      <w:keepNext/>
      <w:keepLines/>
      <w:spacing w:before="260" w:after="260" w:line="416" w:lineRule="auto"/>
      <w:outlineLvl w:val="1"/>
    </w:pPr>
    <w:rPr>
      <w:rFonts w:ascii="Arial" w:hAnsi="Arial" w:eastAsia="黑体" w:cs="Times New Roman"/>
      <w:b/>
      <w:bCs/>
      <w:kern w:val="2"/>
      <w:sz w:val="32"/>
      <w:szCs w:val="32"/>
    </w:rPr>
  </w:style>
  <w:style w:type="paragraph" w:styleId="6">
    <w:name w:val="heading 3"/>
    <w:basedOn w:val="1"/>
    <w:next w:val="1"/>
    <w:qFormat/>
    <w:uiPriority w:val="0"/>
    <w:pPr>
      <w:keepNext/>
      <w:keepLines/>
      <w:spacing w:before="260" w:after="260" w:line="416" w:lineRule="auto"/>
      <w:outlineLvl w:val="2"/>
    </w:pPr>
    <w:rPr>
      <w:rFonts w:ascii="Calibri" w:hAnsi="Calibri" w:cs="Times New Roman"/>
      <w:b/>
      <w:bCs/>
      <w:kern w:val="2"/>
      <w:sz w:val="32"/>
      <w:szCs w:val="32"/>
    </w:rPr>
  </w:style>
  <w:style w:type="paragraph" w:styleId="7">
    <w:name w:val="heading 4"/>
    <w:basedOn w:val="1"/>
    <w:next w:val="1"/>
    <w:qFormat/>
    <w:uiPriority w:val="9"/>
    <w:pPr>
      <w:keepNext/>
      <w:keepLines/>
      <w:spacing w:before="280" w:after="290" w:line="376" w:lineRule="auto"/>
      <w:outlineLvl w:val="3"/>
    </w:pPr>
    <w:rPr>
      <w:rFonts w:ascii="Cambria" w:hAnsi="Cambria" w:cs="Times New Roman"/>
      <w:b/>
      <w:bCs/>
      <w:kern w:val="2"/>
      <w:sz w:val="28"/>
      <w:szCs w:val="28"/>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rPr>
      <w:rFonts w:ascii="Arial" w:hAnsi="Arial" w:cs="Times New Roman"/>
      <w:bCs/>
      <w:kern w:val="2"/>
    </w:rPr>
  </w:style>
  <w:style w:type="paragraph" w:styleId="3">
    <w:name w:val="Body Text First Indent"/>
    <w:basedOn w:val="2"/>
    <w:next w:val="4"/>
    <w:qFormat/>
    <w:uiPriority w:val="0"/>
    <w:pPr>
      <w:spacing w:after="120"/>
      <w:ind w:firstLine="420" w:firstLineChars="100"/>
    </w:pPr>
    <w:rPr>
      <w:rFonts w:ascii="Calibri" w:hAnsi="Calibri"/>
      <w:sz w:val="21"/>
      <w:szCs w:val="22"/>
    </w:rPr>
  </w:style>
  <w:style w:type="paragraph" w:styleId="4">
    <w:name w:val="toc 6"/>
    <w:basedOn w:val="1"/>
    <w:next w:val="1"/>
    <w:qFormat/>
    <w:uiPriority w:val="39"/>
    <w:pPr>
      <w:widowControl w:val="0"/>
      <w:ind w:left="840"/>
    </w:pPr>
    <w:rPr>
      <w:rFonts w:ascii="Calibri" w:hAnsi="Calibri" w:cs="Calibri"/>
      <w:kern w:val="2"/>
      <w:sz w:val="20"/>
      <w:szCs w:val="20"/>
    </w:rPr>
  </w:style>
  <w:style w:type="paragraph" w:styleId="8">
    <w:name w:val="Normal Indent"/>
    <w:basedOn w:val="1"/>
    <w:next w:val="1"/>
    <w:qFormat/>
    <w:uiPriority w:val="99"/>
    <w:pPr>
      <w:ind w:firstLine="420" w:firstLineChars="200"/>
    </w:pPr>
    <w:rPr>
      <w:rFonts w:ascii="Times New Roman" w:hAnsi="Times New Roman" w:cs="Times New Roman"/>
      <w:kern w:val="2"/>
      <w:sz w:val="21"/>
    </w:rPr>
  </w:style>
  <w:style w:type="paragraph" w:styleId="9">
    <w:name w:val="Body Text Indent"/>
    <w:basedOn w:val="1"/>
    <w:qFormat/>
    <w:uiPriority w:val="0"/>
    <w:pPr>
      <w:spacing w:after="120"/>
      <w:ind w:left="420" w:leftChars="200"/>
    </w:pPr>
    <w:rPr>
      <w:rFonts w:ascii="Times New Roman" w:hAnsi="Times New Roman" w:cs="Times New Roman"/>
      <w:kern w:val="2"/>
      <w:sz w:val="21"/>
    </w:rPr>
  </w:style>
  <w:style w:type="paragraph" w:styleId="10">
    <w:name w:val="Plain Text"/>
    <w:basedOn w:val="1"/>
    <w:next w:val="11"/>
    <w:qFormat/>
    <w:uiPriority w:val="0"/>
    <w:rPr>
      <w:rFonts w:hAnsi="Courier New" w:cs="Times New Roman"/>
      <w:kern w:val="2"/>
      <w:sz w:val="21"/>
      <w:szCs w:val="20"/>
    </w:rPr>
  </w:style>
  <w:style w:type="paragraph" w:styleId="11">
    <w:name w:val="toc 2"/>
    <w:basedOn w:val="1"/>
    <w:next w:val="1"/>
    <w:qFormat/>
    <w:uiPriority w:val="39"/>
    <w:pPr>
      <w:ind w:left="420" w:leftChars="200"/>
    </w:pPr>
    <w:rPr>
      <w:szCs w:val="20"/>
    </w:rPr>
  </w:style>
  <w:style w:type="paragraph" w:styleId="12">
    <w:name w:val="Date"/>
    <w:basedOn w:val="1"/>
    <w:next w:val="1"/>
    <w:qFormat/>
    <w:uiPriority w:val="0"/>
    <w:pPr>
      <w:ind w:left="100" w:leftChars="2500"/>
    </w:pPr>
    <w:rPr>
      <w:rFonts w:cs="Times New Roman"/>
      <w:color w:val="000000"/>
    </w:rPr>
  </w:style>
  <w:style w:type="paragraph" w:styleId="13">
    <w:name w:val="Body Text Indent 2"/>
    <w:basedOn w:val="1"/>
    <w:qFormat/>
    <w:uiPriority w:val="0"/>
    <w:pPr>
      <w:widowControl/>
      <w:spacing w:line="480" w:lineRule="atLeast"/>
      <w:ind w:firstLine="480"/>
    </w:pPr>
    <w:rPr>
      <w:rFonts w:hAnsi="Times New Roman" w:cs="Times New Roman"/>
      <w:szCs w:val="20"/>
    </w:rPr>
  </w:style>
  <w:style w:type="paragraph" w:styleId="14">
    <w:name w:val="footer"/>
    <w:basedOn w:val="1"/>
    <w:qFormat/>
    <w:uiPriority w:val="99"/>
    <w:pPr>
      <w:tabs>
        <w:tab w:val="center" w:pos="4153"/>
        <w:tab w:val="right" w:pos="8306"/>
      </w:tabs>
      <w:snapToGrid w:val="0"/>
      <w:jc w:val="left"/>
    </w:pPr>
    <w:rPr>
      <w:rFonts w:ascii="Times New Roman" w:hAnsi="Times New Roman" w:cs="Times New Roman"/>
      <w:kern w:val="2"/>
      <w:sz w:val="18"/>
      <w:szCs w:val="18"/>
    </w:rPr>
  </w:style>
  <w:style w:type="paragraph" w:styleId="15">
    <w:name w:val="header"/>
    <w:basedOn w:val="1"/>
    <w:qFormat/>
    <w:uiPriority w:val="99"/>
    <w:pPr>
      <w:pBdr>
        <w:bottom w:val="single" w:color="auto" w:sz="6" w:space="1"/>
      </w:pBdr>
      <w:tabs>
        <w:tab w:val="center" w:pos="4153"/>
        <w:tab w:val="right" w:pos="8306"/>
      </w:tabs>
      <w:snapToGrid w:val="0"/>
      <w:jc w:val="center"/>
    </w:pPr>
    <w:rPr>
      <w:rFonts w:ascii="Times New Roman" w:hAnsi="Times New Roman" w:cs="Times New Roman"/>
      <w:kern w:val="2"/>
      <w:sz w:val="18"/>
      <w:szCs w:val="18"/>
    </w:rPr>
  </w:style>
  <w:style w:type="paragraph" w:styleId="16">
    <w:name w:val="toc 1"/>
    <w:basedOn w:val="1"/>
    <w:next w:val="1"/>
    <w:qFormat/>
    <w:uiPriority w:val="39"/>
    <w:rPr>
      <w:szCs w:val="20"/>
    </w:rPr>
  </w:style>
  <w:style w:type="paragraph" w:styleId="17">
    <w:name w:val="Body Text Indent 3"/>
    <w:basedOn w:val="1"/>
    <w:qFormat/>
    <w:uiPriority w:val="0"/>
    <w:pPr>
      <w:autoSpaceDE w:val="0"/>
      <w:autoSpaceDN w:val="0"/>
      <w:spacing w:line="400" w:lineRule="atLeast"/>
      <w:ind w:firstLine="443" w:firstLineChars="200"/>
      <w:textAlignment w:val="bottom"/>
    </w:pPr>
    <w:rPr>
      <w:rFonts w:ascii="Times New Roman" w:hAnsi="Times New Roman" w:eastAsia="黑体" w:cs="Times New Roman"/>
      <w:color w:val="000000"/>
      <w:kern w:val="2"/>
    </w:rPr>
  </w:style>
  <w:style w:type="paragraph" w:styleId="18">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19">
    <w:name w:val="Title"/>
    <w:basedOn w:val="1"/>
    <w:next w:val="1"/>
    <w:qFormat/>
    <w:uiPriority w:val="0"/>
    <w:pPr>
      <w:spacing w:before="240" w:after="60" w:line="460" w:lineRule="exact"/>
      <w:jc w:val="center"/>
      <w:outlineLvl w:val="0"/>
    </w:pPr>
    <w:rPr>
      <w:rFonts w:ascii="Arial" w:hAnsi="Arial" w:cs="Times New Roman"/>
      <w:b/>
      <w:spacing w:val="14"/>
      <w:kern w:val="24"/>
      <w:sz w:val="32"/>
      <w:szCs w:val="20"/>
    </w:rPr>
  </w:style>
  <w:style w:type="paragraph" w:styleId="20">
    <w:name w:val="Body Text First Indent 2"/>
    <w:basedOn w:val="9"/>
    <w:qFormat/>
    <w:uiPriority w:val="0"/>
    <w:pPr>
      <w:widowControl w:val="0"/>
      <w:ind w:firstLine="420" w:firstLineChars="200"/>
      <w:jc w:val="both"/>
    </w:pPr>
    <w:rPr>
      <w:rFonts w:ascii="仿宋_GB2312" w:hAnsi="宋体" w:eastAsia="仿宋_GB2312"/>
      <w:b/>
      <w:bCs/>
      <w:color w:val="000000"/>
      <w:szCs w:val="21"/>
    </w:rPr>
  </w:style>
  <w:style w:type="character" w:styleId="23">
    <w:name w:val="page number"/>
    <w:basedOn w:val="22"/>
    <w:qFormat/>
    <w:uiPriority w:val="0"/>
  </w:style>
  <w:style w:type="character" w:styleId="24">
    <w:name w:val="Hyperlink"/>
    <w:qFormat/>
    <w:uiPriority w:val="99"/>
    <w:rPr>
      <w:color w:val="0000FF"/>
      <w:u w:val="single"/>
    </w:rPr>
  </w:style>
  <w:style w:type="paragraph" w:styleId="25">
    <w:name w:val="List Paragraph"/>
    <w:basedOn w:val="1"/>
    <w:qFormat/>
    <w:uiPriority w:val="99"/>
    <w:pPr>
      <w:ind w:firstLine="420" w:firstLineChars="200"/>
    </w:pPr>
    <w:rPr>
      <w:rFonts w:ascii="Calibri" w:hAnsi="Calibri" w:cs="Times New Roman"/>
      <w:kern w:val="2"/>
      <w:sz w:val="21"/>
      <w:szCs w:val="22"/>
    </w:rPr>
  </w:style>
  <w:style w:type="paragraph" w:customStyle="1" w:styleId="26">
    <w:name w:val="彩色列表 - 强调文字颜色 11"/>
    <w:basedOn w:val="1"/>
    <w:qFormat/>
    <w:uiPriority w:val="34"/>
    <w:pPr>
      <w:ind w:firstLine="420" w:firstLineChars="200"/>
    </w:pPr>
    <w:rPr>
      <w:rFonts w:ascii="Calibri" w:hAnsi="Calibri"/>
      <w:szCs w:val="22"/>
    </w:rPr>
  </w:style>
  <w:style w:type="paragraph" w:customStyle="1" w:styleId="27">
    <w:name w:val="列出段落7"/>
    <w:basedOn w:val="1"/>
    <w:qFormat/>
    <w:uiPriority w:val="99"/>
    <w:pPr>
      <w:ind w:firstLine="420" w:firstLineChars="200"/>
    </w:pPr>
    <w:rPr>
      <w:rFonts w:ascii="Calibri" w:hAnsi="Calibri"/>
      <w:szCs w:val="22"/>
    </w:rPr>
  </w:style>
  <w:style w:type="paragraph" w:customStyle="1" w:styleId="28">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29">
    <w:name w:val="l正文"/>
    <w:basedOn w:val="1"/>
    <w:qFormat/>
    <w:uiPriority w:val="0"/>
    <w:pPr>
      <w:widowControl w:val="0"/>
      <w:spacing w:line="300" w:lineRule="auto"/>
      <w:ind w:firstLine="200" w:firstLineChars="200"/>
    </w:pPr>
    <w:rPr>
      <w:rFonts w:ascii="楷体_GB2312" w:hAnsi="Times" w:eastAsia="楷体_GB2312" w:cs="等线"/>
      <w:kern w:val="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2020-11-16T01:04:00Z</dcterms:created>
  <dc:creator>Arthur</dc:creator>
  <cp:lastModifiedBy>Administrator</cp:lastModifiedBy>
  <cp:lastPrinted>2020-12-04T02:24:00Z</cp:lastPrinted>
  <dcterms:modified xsi:type="dcterms:W3CDTF">2020-12-04T06:56:58Z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