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E2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32EC186F">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14DD156A">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E30DDE">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F782229">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2CBC763E">
            <w:pPr>
              <w:pStyle w:val="25"/>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14:paraId="14AD2D79">
            <w:pPr>
              <w:pStyle w:val="19"/>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14:paraId="32152910">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14:paraId="39C9B832">
            <w:pPr>
              <w:pStyle w:val="25"/>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14:paraId="32FE575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7"/>
              <w:tblW w:w="0" w:type="auto"/>
              <w:jc w:val="center"/>
              <w:tblLayout w:type="fixed"/>
              <w:tblCellMar>
                <w:top w:w="0" w:type="dxa"/>
                <w:left w:w="108" w:type="dxa"/>
                <w:bottom w:w="0" w:type="dxa"/>
                <w:right w:w="108" w:type="dxa"/>
              </w:tblCellMar>
            </w:tblPr>
            <w:tblGrid>
              <w:gridCol w:w="2304"/>
              <w:gridCol w:w="4590"/>
            </w:tblGrid>
            <w:tr w14:paraId="26FEFD51">
              <w:tblPrEx>
                <w:tblCellMar>
                  <w:top w:w="0" w:type="dxa"/>
                  <w:left w:w="108" w:type="dxa"/>
                  <w:bottom w:w="0" w:type="dxa"/>
                  <w:right w:w="108" w:type="dxa"/>
                </w:tblCellMar>
              </w:tblPrEx>
              <w:trPr>
                <w:jc w:val="center"/>
              </w:trPr>
              <w:tc>
                <w:tcPr>
                  <w:tcW w:w="2304" w:type="dxa"/>
                  <w:noWrap w:val="0"/>
                  <w:vAlign w:val="top"/>
                </w:tcPr>
                <w:p w14:paraId="2B21E07C">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center"/>
                </w:tcPr>
                <w:p w14:paraId="3650202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平阳站前片区城市设计、控制性详细规划服务</w:t>
                  </w:r>
                </w:p>
              </w:tc>
            </w:tr>
            <w:tr w14:paraId="6907A37F">
              <w:tblPrEx>
                <w:tblCellMar>
                  <w:top w:w="0" w:type="dxa"/>
                  <w:left w:w="108" w:type="dxa"/>
                  <w:bottom w:w="0" w:type="dxa"/>
                  <w:right w:w="108" w:type="dxa"/>
                </w:tblCellMar>
              </w:tblPrEx>
              <w:trPr>
                <w:jc w:val="center"/>
              </w:trPr>
              <w:tc>
                <w:tcPr>
                  <w:tcW w:w="2304" w:type="dxa"/>
                  <w:noWrap w:val="0"/>
                  <w:vAlign w:val="top"/>
                </w:tcPr>
                <w:p w14:paraId="4792F39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14:paraId="4473B6F2">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PYCG250902093</w:t>
                  </w:r>
                </w:p>
              </w:tc>
            </w:tr>
            <w:tr w14:paraId="07F8CC9E">
              <w:tblPrEx>
                <w:tblCellMar>
                  <w:top w:w="0" w:type="dxa"/>
                  <w:left w:w="108" w:type="dxa"/>
                  <w:bottom w:w="0" w:type="dxa"/>
                  <w:right w:w="108" w:type="dxa"/>
                </w:tblCellMar>
              </w:tblPrEx>
              <w:trPr>
                <w:jc w:val="center"/>
              </w:trPr>
              <w:tc>
                <w:tcPr>
                  <w:tcW w:w="2304" w:type="dxa"/>
                  <w:noWrap w:val="0"/>
                  <w:vAlign w:val="top"/>
                </w:tcPr>
                <w:p w14:paraId="23CADC2A">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71F8D40C">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7B09015E">
              <w:tblPrEx>
                <w:tblCellMar>
                  <w:top w:w="0" w:type="dxa"/>
                  <w:left w:w="108" w:type="dxa"/>
                  <w:bottom w:w="0" w:type="dxa"/>
                  <w:right w:w="108" w:type="dxa"/>
                </w:tblCellMar>
              </w:tblPrEx>
              <w:trPr>
                <w:jc w:val="center"/>
              </w:trPr>
              <w:tc>
                <w:tcPr>
                  <w:tcW w:w="2304" w:type="dxa"/>
                  <w:noWrap w:val="0"/>
                  <w:vAlign w:val="top"/>
                </w:tcPr>
                <w:p w14:paraId="3A9C3600">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14:paraId="44D7E44F">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平阳县城市建设投资有限公司</w:t>
                  </w:r>
                </w:p>
              </w:tc>
            </w:tr>
            <w:tr w14:paraId="76D22DA9">
              <w:tblPrEx>
                <w:tblCellMar>
                  <w:top w:w="0" w:type="dxa"/>
                  <w:left w:w="108" w:type="dxa"/>
                  <w:bottom w:w="0" w:type="dxa"/>
                  <w:right w:w="108" w:type="dxa"/>
                </w:tblCellMar>
              </w:tblPrEx>
              <w:trPr>
                <w:jc w:val="center"/>
              </w:trPr>
              <w:tc>
                <w:tcPr>
                  <w:tcW w:w="2304" w:type="dxa"/>
                  <w:noWrap w:val="0"/>
                  <w:vAlign w:val="top"/>
                </w:tcPr>
                <w:p w14:paraId="333FD584">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2ABFA6AF">
                  <w:pPr>
                    <w:keepNext w:val="0"/>
                    <w:keepLines w:val="0"/>
                    <w:suppressLineNumbers w:val="0"/>
                    <w:shd w:val="clear" w:color="auto" w:fill="auto"/>
                    <w:spacing w:before="0" w:beforeAutospacing="0" w:after="0" w:afterAutospacing="0" w:line="360" w:lineRule="auto"/>
                    <w:ind w:left="0" w:right="0"/>
                    <w:jc w:val="left"/>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宋女士</w:t>
                  </w:r>
                </w:p>
              </w:tc>
            </w:tr>
            <w:tr w14:paraId="2CAFEEE0">
              <w:tblPrEx>
                <w:tblCellMar>
                  <w:top w:w="0" w:type="dxa"/>
                  <w:left w:w="108" w:type="dxa"/>
                  <w:bottom w:w="0" w:type="dxa"/>
                  <w:right w:w="108" w:type="dxa"/>
                </w:tblCellMar>
              </w:tblPrEx>
              <w:trPr>
                <w:jc w:val="center"/>
              </w:trPr>
              <w:tc>
                <w:tcPr>
                  <w:tcW w:w="2304" w:type="dxa"/>
                  <w:noWrap w:val="0"/>
                  <w:vAlign w:val="top"/>
                </w:tcPr>
                <w:p w14:paraId="0B3DE01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6B670FE2">
                  <w:pPr>
                    <w:keepNext w:val="0"/>
                    <w:keepLines w:val="0"/>
                    <w:suppressLineNumbers w:val="0"/>
                    <w:shd w:val="clear" w:color="auto" w:fill="auto"/>
                    <w:spacing w:before="0" w:beforeAutospacing="0" w:after="0" w:afterAutospacing="0" w:line="360" w:lineRule="auto"/>
                    <w:ind w:left="0" w:right="0"/>
                    <w:jc w:val="left"/>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0577-58105308</w:t>
                  </w:r>
                </w:p>
              </w:tc>
            </w:tr>
            <w:tr w14:paraId="05291C96">
              <w:tblPrEx>
                <w:tblCellMar>
                  <w:top w:w="0" w:type="dxa"/>
                  <w:left w:w="108" w:type="dxa"/>
                  <w:bottom w:w="0" w:type="dxa"/>
                  <w:right w:w="108" w:type="dxa"/>
                </w:tblCellMar>
              </w:tblPrEx>
              <w:trPr>
                <w:jc w:val="center"/>
              </w:trPr>
              <w:tc>
                <w:tcPr>
                  <w:tcW w:w="2304" w:type="dxa"/>
                  <w:noWrap w:val="0"/>
                  <w:vAlign w:val="top"/>
                </w:tcPr>
                <w:p w14:paraId="29D6ACD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0EA49DDD">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28D1A774">
              <w:tblPrEx>
                <w:tblCellMar>
                  <w:top w:w="0" w:type="dxa"/>
                  <w:left w:w="108" w:type="dxa"/>
                  <w:bottom w:w="0" w:type="dxa"/>
                  <w:right w:w="108" w:type="dxa"/>
                </w:tblCellMar>
              </w:tblPrEx>
              <w:trPr>
                <w:jc w:val="center"/>
              </w:trPr>
              <w:tc>
                <w:tcPr>
                  <w:tcW w:w="2304" w:type="dxa"/>
                  <w:noWrap w:val="0"/>
                  <w:vAlign w:val="top"/>
                </w:tcPr>
                <w:p w14:paraId="31C098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14:paraId="50438DBD">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highlight w:val="none"/>
                      <w:lang w:eastAsia="zh-CN"/>
                    </w:rPr>
                    <w:t>新征程（杭州）招标代理有限公司</w:t>
                  </w:r>
                </w:p>
              </w:tc>
            </w:tr>
            <w:tr w14:paraId="481A59F5">
              <w:tblPrEx>
                <w:tblCellMar>
                  <w:top w:w="0" w:type="dxa"/>
                  <w:left w:w="108" w:type="dxa"/>
                  <w:bottom w:w="0" w:type="dxa"/>
                  <w:right w:w="108" w:type="dxa"/>
                </w:tblCellMar>
              </w:tblPrEx>
              <w:trPr>
                <w:trHeight w:val="90" w:hRule="atLeast"/>
                <w:jc w:val="center"/>
              </w:trPr>
              <w:tc>
                <w:tcPr>
                  <w:tcW w:w="2304" w:type="dxa"/>
                  <w:noWrap w:val="0"/>
                  <w:vAlign w:val="top"/>
                </w:tcPr>
                <w:p w14:paraId="6B66F4A8">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53D6D6BB">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李先生</w:t>
                  </w:r>
                </w:p>
              </w:tc>
            </w:tr>
            <w:tr w14:paraId="37B165A1">
              <w:tblPrEx>
                <w:tblCellMar>
                  <w:top w:w="0" w:type="dxa"/>
                  <w:left w:w="108" w:type="dxa"/>
                  <w:bottom w:w="0" w:type="dxa"/>
                  <w:right w:w="108" w:type="dxa"/>
                </w:tblCellMar>
              </w:tblPrEx>
              <w:trPr>
                <w:jc w:val="center"/>
              </w:trPr>
              <w:tc>
                <w:tcPr>
                  <w:tcW w:w="2304" w:type="dxa"/>
                  <w:noWrap w:val="0"/>
                  <w:vAlign w:val="top"/>
                </w:tcPr>
                <w:p w14:paraId="1A332EE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302EF699">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13029688868</w:t>
                  </w:r>
                </w:p>
              </w:tc>
            </w:tr>
            <w:tr w14:paraId="70C80F3B">
              <w:tblPrEx>
                <w:tblCellMar>
                  <w:top w:w="0" w:type="dxa"/>
                  <w:left w:w="108" w:type="dxa"/>
                  <w:bottom w:w="0" w:type="dxa"/>
                  <w:right w:w="108" w:type="dxa"/>
                </w:tblCellMar>
              </w:tblPrEx>
              <w:trPr>
                <w:jc w:val="center"/>
              </w:trPr>
              <w:tc>
                <w:tcPr>
                  <w:tcW w:w="6894" w:type="dxa"/>
                  <w:gridSpan w:val="2"/>
                  <w:noWrap w:val="0"/>
                  <w:vAlign w:val="top"/>
                </w:tcPr>
                <w:p w14:paraId="6DBCE4E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月</w:t>
                  </w:r>
                </w:p>
              </w:tc>
            </w:tr>
          </w:tbl>
          <w:p w14:paraId="712BAA5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386E1F7B">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1DA55816">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3"/>
      <w:bookmarkStart w:id="1" w:name="OLE_LINK2"/>
      <w:bookmarkStart w:id="2" w:name="OLE_LINK1"/>
    </w:p>
    <w:p w14:paraId="2E46CB35">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新征程（杭州）招标代理有限公司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平阳站前片区城市设计、控制性详细规划服务</w:t>
      </w:r>
      <w:r>
        <w:rPr>
          <w:rFonts w:hint="eastAsia" w:ascii="宋体" w:hAnsi="宋体" w:eastAsia="宋体" w:cs="宋体"/>
          <w:b/>
          <w:bCs/>
          <w:color w:val="auto"/>
          <w:kern w:val="0"/>
          <w:sz w:val="28"/>
          <w:szCs w:val="28"/>
          <w:highlight w:val="none"/>
        </w:rPr>
        <w:t>的公开招标公告</w:t>
      </w:r>
    </w:p>
    <w:p w14:paraId="4F5AF471">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145F93DC">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9月3日</w:t>
      </w:r>
    </w:p>
    <w:p w14:paraId="37BD4AF0">
      <w:pPr>
        <w:pStyle w:val="23"/>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2782EBF7">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平阳站前片区城市设计、控制性详细规划服务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09:30（北京时间）前递交投标文件。</w:t>
      </w:r>
    </w:p>
    <w:p w14:paraId="5AFD0FD6">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2A3AE9F7">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PYCG250902093</w:t>
      </w:r>
    </w:p>
    <w:p w14:paraId="672C50AA">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平阳站前片区城市设计、控制性详</w:t>
      </w:r>
      <w:bookmarkStart w:id="121" w:name="_GoBack"/>
      <w:bookmarkEnd w:id="121"/>
      <w:r>
        <w:rPr>
          <w:rFonts w:hint="eastAsia" w:ascii="宋体" w:hAnsi="宋体" w:cs="宋体"/>
          <w:color w:val="auto"/>
          <w:sz w:val="22"/>
          <w:szCs w:val="22"/>
          <w:highlight w:val="none"/>
          <w:shd w:val="clear" w:color="auto" w:fill="FFFFFF"/>
          <w:lang w:eastAsia="zh-CN"/>
        </w:rPr>
        <w:t>细规划服务</w:t>
      </w:r>
    </w:p>
    <w:p w14:paraId="20BD1A3B">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2300000</w:t>
      </w:r>
    </w:p>
    <w:p w14:paraId="142EC98A">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2300000</w:t>
      </w:r>
    </w:p>
    <w:p w14:paraId="6DC4CDEC">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0645DB38">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17E14C90">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613E8152">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3FE05BD2">
      <w:pPr>
        <w:pStyle w:val="23"/>
        <w:shd w:val="clear" w:color="auto" w:fill="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是</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联合体成员最多不超过2家</w:t>
      </w:r>
      <w:r>
        <w:rPr>
          <w:rFonts w:hint="eastAsia" w:ascii="宋体" w:hAnsi="宋体" w:eastAsia="宋体" w:cs="宋体"/>
          <w:b/>
          <w:bCs/>
          <w:color w:val="auto"/>
          <w:sz w:val="22"/>
          <w:szCs w:val="22"/>
          <w:highlight w:val="none"/>
          <w:shd w:val="clear" w:color="auto" w:fill="FFFFFF"/>
        </w:rPr>
        <w:t>。</w:t>
      </w:r>
    </w:p>
    <w:p w14:paraId="78B3A1E0">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5D7A792D">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1A3D3A6E">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3C0A8C47">
      <w:pPr>
        <w:shd w:val="clear" w:color="auto" w:fill="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cs="宋体"/>
          <w:color w:val="auto"/>
          <w:sz w:val="22"/>
          <w:highlight w:val="none"/>
        </w:rPr>
        <w:t>供应商具有</w:t>
      </w:r>
      <w:r>
        <w:rPr>
          <w:rFonts w:hint="eastAsia" w:ascii="宋体" w:hAnsi="宋体" w:cs="宋体"/>
          <w:color w:val="auto"/>
          <w:sz w:val="22"/>
          <w:highlight w:val="none"/>
          <w:shd w:val="clear" w:color="auto" w:fill="FFFFFF"/>
        </w:rPr>
        <w:t>城乡规划编制</w:t>
      </w:r>
      <w:r>
        <w:rPr>
          <w:rFonts w:hint="eastAsia" w:ascii="宋体" w:hAnsi="宋体" w:cs="宋体"/>
          <w:color w:val="auto"/>
          <w:sz w:val="22"/>
          <w:highlight w:val="none"/>
          <w:shd w:val="clear" w:color="auto" w:fill="FFFFFF"/>
          <w:lang w:val="en-US" w:eastAsia="zh-CN"/>
        </w:rPr>
        <w:t>乙级及以上</w:t>
      </w:r>
      <w:r>
        <w:rPr>
          <w:rFonts w:hint="eastAsia" w:ascii="宋体" w:hAnsi="宋体" w:cs="宋体"/>
          <w:color w:val="auto"/>
          <w:sz w:val="22"/>
          <w:highlight w:val="none"/>
          <w:shd w:val="clear" w:color="auto" w:fill="FFFFFF"/>
        </w:rPr>
        <w:t>资质</w:t>
      </w:r>
      <w:r>
        <w:rPr>
          <w:rFonts w:hint="eastAsia" w:ascii="宋体" w:hAnsi="宋体"/>
          <w:b/>
          <w:bCs/>
          <w:color w:val="auto"/>
          <w:sz w:val="22"/>
          <w:szCs w:val="22"/>
          <w:highlight w:val="none"/>
          <w:lang w:eastAsia="zh-CN"/>
        </w:rPr>
        <w:t>。</w:t>
      </w:r>
    </w:p>
    <w:p w14:paraId="148DE056">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4514346C">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9月3日</w:t>
      </w:r>
      <w:r>
        <w:rPr>
          <w:rFonts w:hint="eastAsia" w:ascii="宋体" w:hAnsi="宋体" w:eastAsia="宋体" w:cs="宋体"/>
          <w:color w:val="auto"/>
          <w:sz w:val="22"/>
          <w:szCs w:val="22"/>
          <w:highlight w:val="none"/>
          <w:shd w:val="clear" w:color="auto" w:fill="FFFFFF"/>
        </w:rPr>
        <w:t>至</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，每天上午00:00至12:00，下午12:00至23:59（北京时间，线上获取法定节假日均可，线下获取文件法定节假日除外）</w:t>
      </w:r>
    </w:p>
    <w:p w14:paraId="2C6E8B21">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946D797">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45597D9">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571FDB0E">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6A7DAF6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09:30（北京时间）</w:t>
      </w:r>
    </w:p>
    <w:p w14:paraId="169B8713">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529641A6">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09:30（北京时间）</w:t>
      </w:r>
    </w:p>
    <w:p w14:paraId="3E8BC49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48C68AF0">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2E3C7EAF">
      <w:pPr>
        <w:pStyle w:val="23"/>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660A0348">
      <w:pPr>
        <w:pStyle w:val="23"/>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5F88833E">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0DE219A">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1）本项目通过“乐采云平台（www.lecaiyun.com）”实行在线投标响应（电子投标），投标客户端也要使用乐采云投标客户端（下载链接（如有变以乐采云平台为准）：https://b.zhengcaiyun.cn/luban/category?parentId=550045&amp;childrenCode=qicaiCategory17&amp;utm=luban.luban-PC-39026.959-pc-websitegroup-navBar-front.8.c8789bc0520b11efb86dbfa49a87be0d））</w:t>
      </w:r>
    </w:p>
    <w:p w14:paraId="2C6398B7">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w:t>
      </w:r>
    </w:p>
    <w:p w14:paraId="4D9A4225">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3）投标供应商应当在投标截止时间前，将生成的“电子加密投标文件”上传递交至“乐采云平台（www.lecaiyun.com）”。投标截止时间以后上传递交的投标文件将被“乐采云平台（www.lecaiyun.com）”拒收。</w:t>
      </w:r>
    </w:p>
    <w:p w14:paraId="335C8343">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E343018">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48F031CE">
      <w:pPr>
        <w:widowControl/>
        <w:shd w:val="clear" w:color="auto" w:fill="auto"/>
        <w:kinsoku/>
        <w:wordWrap w:val="0"/>
        <w:overflowPunct/>
        <w:topLinePunct w:val="0"/>
        <w:bidi w:val="0"/>
        <w:spacing w:line="360" w:lineRule="auto"/>
        <w:ind w:firstLine="440" w:firstLineChars="200"/>
        <w:jc w:val="left"/>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46723456">
      <w:pPr>
        <w:widowControl/>
        <w:shd w:val="clear" w:color="auto" w:fill="auto"/>
        <w:kinsoku/>
        <w:wordWrap w:val="0"/>
        <w:overflowPunct/>
        <w:topLinePunct w:val="0"/>
        <w:bidi w:val="0"/>
        <w:spacing w:line="360" w:lineRule="auto"/>
        <w:ind w:firstLine="442" w:firstLineChars="200"/>
        <w:jc w:val="left"/>
        <w:rPr>
          <w:rFonts w:hint="eastAsia" w:ascii="宋体" w:hAnsi="宋体" w:eastAsia="宋体" w:cs="Arial"/>
          <w:b/>
          <w:bCs/>
          <w:color w:val="auto"/>
          <w:kern w:val="0"/>
          <w:sz w:val="22"/>
          <w:szCs w:val="22"/>
          <w:highlight w:val="none"/>
          <w:lang w:val="en-US" w:eastAsia="zh-CN"/>
        </w:rPr>
      </w:pPr>
      <w:r>
        <w:rPr>
          <w:rFonts w:hint="eastAsia" w:ascii="宋体" w:hAnsi="宋体" w:cs="Arial"/>
          <w:b/>
          <w:bCs/>
          <w:color w:val="auto"/>
          <w:kern w:val="0"/>
          <w:sz w:val="22"/>
          <w:szCs w:val="22"/>
          <w:highlight w:val="none"/>
          <w:lang w:val="en-US" w:eastAsia="zh-CN"/>
        </w:rPr>
        <w:t>7</w:t>
      </w:r>
      <w:r>
        <w:rPr>
          <w:rFonts w:hint="eastAsia" w:ascii="宋体" w:hAnsi="宋体" w:eastAsia="宋体" w:cs="Arial"/>
          <w:b/>
          <w:bCs/>
          <w:color w:val="auto"/>
          <w:kern w:val="0"/>
          <w:sz w:val="22"/>
          <w:szCs w:val="22"/>
          <w:highlight w:val="none"/>
          <w:lang w:val="en-US" w:eastAsia="zh-CN"/>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6D38C1BE">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7EBED53F">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平阳县城市建设投资有限公司</w:t>
      </w:r>
    </w:p>
    <w:p w14:paraId="376CEBB9">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平阳县昆阳镇飞鳌大道与状元路交叉路口</w:t>
      </w:r>
    </w:p>
    <w:p w14:paraId="795FF309">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宋女士</w:t>
      </w:r>
    </w:p>
    <w:p w14:paraId="0A82DB7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0577-58105308</w:t>
      </w:r>
    </w:p>
    <w:p w14:paraId="3EB999A4">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：新征程（杭州）招标代理有限公司</w:t>
      </w:r>
    </w:p>
    <w:p w14:paraId="7E55F464">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：平阳县昆阳镇汉森世家1栋1单元902室</w:t>
      </w:r>
    </w:p>
    <w:p w14:paraId="5C998BEE">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：李先生</w:t>
      </w:r>
    </w:p>
    <w:p w14:paraId="77A3A0F7">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：13029688868</w:t>
      </w:r>
    </w:p>
    <w:p w14:paraId="530E0ED1">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3、同级采购监管管理部门名称：平阳县城市建设投资有限公司纪检监察室</w:t>
      </w:r>
    </w:p>
    <w:p w14:paraId="4F4CD4EF">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联系人：潘先生</w:t>
      </w:r>
    </w:p>
    <w:p w14:paraId="026C05A9">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监督投诉电话：0577-</w:t>
      </w:r>
      <w:r>
        <w:rPr>
          <w:rFonts w:hint="eastAsia" w:ascii="宋体" w:hAnsi="宋体" w:cs="宋体"/>
          <w:color w:val="auto"/>
          <w:kern w:val="0"/>
          <w:sz w:val="22"/>
          <w:szCs w:val="22"/>
          <w:highlight w:val="none"/>
          <w:lang w:eastAsia="zh-CN"/>
        </w:rPr>
        <w:t>58193517</w:t>
      </w:r>
    </w:p>
    <w:p w14:paraId="17160A9B">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w:t>
      </w:r>
    </w:p>
    <w:p w14:paraId="7EB6269A">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地址：平阳县昆阳镇飞鳌大道与状元路交叉路口</w:t>
      </w:r>
    </w:p>
    <w:p w14:paraId="15737B55">
      <w:pPr>
        <w:widowControl/>
        <w:shd w:val="clear" w:color="auto" w:fill="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4B2C0D56">
      <w:pPr>
        <w:shd w:val="clear" w:color="auto" w:fill="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新征程（杭州）招标代理有限公司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平阳站前片区城市设计、控制性详细规划服务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7"/>
        <w:tblW w:w="9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6940"/>
      </w:tblGrid>
      <w:tr w14:paraId="20001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D39960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58636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6940" w:type="dxa"/>
            <w:noWrap w:val="0"/>
            <w:vAlign w:val="center"/>
          </w:tcPr>
          <w:p w14:paraId="213C22A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604EA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A9B64D">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557AB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940" w:type="dxa"/>
            <w:noWrap w:val="0"/>
            <w:vAlign w:val="center"/>
          </w:tcPr>
          <w:p w14:paraId="695B9C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平阳站前片区城市设计、控制性详细规划服务</w:t>
            </w:r>
          </w:p>
        </w:tc>
      </w:tr>
      <w:tr w14:paraId="43D57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D6B5F4C">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7FCB2B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6940" w:type="dxa"/>
            <w:noWrap w:val="0"/>
            <w:vAlign w:val="center"/>
          </w:tcPr>
          <w:p w14:paraId="239878F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PYCG250902093</w:t>
            </w:r>
          </w:p>
        </w:tc>
      </w:tr>
      <w:tr w14:paraId="51412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946910">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53A9EA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6940" w:type="dxa"/>
            <w:noWrap w:val="0"/>
            <w:vAlign w:val="center"/>
          </w:tcPr>
          <w:p w14:paraId="3A36047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7555D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6077DB2">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9DB4AB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4D4883F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6940" w:type="dxa"/>
            <w:noWrap w:val="0"/>
            <w:vAlign w:val="center"/>
          </w:tcPr>
          <w:p w14:paraId="68258BA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2EF9D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952C4DE">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17F04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6940" w:type="dxa"/>
            <w:noWrap w:val="0"/>
            <w:vAlign w:val="center"/>
          </w:tcPr>
          <w:p w14:paraId="005C21AE">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3CCA9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CFCF43F">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B504D1">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6940" w:type="dxa"/>
            <w:noWrap w:val="0"/>
            <w:vAlign w:val="center"/>
          </w:tcPr>
          <w:p w14:paraId="4B4D93E5">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平阳县城市建设投资有限公司</w:t>
            </w:r>
          </w:p>
          <w:p w14:paraId="61B3C5AD">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平阳县昆阳镇飞鳌大道与状元路交叉路口</w:t>
            </w:r>
          </w:p>
          <w:p w14:paraId="32555B8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宋女士</w:t>
            </w:r>
          </w:p>
          <w:p w14:paraId="1880C65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0577-58105308</w:t>
            </w:r>
          </w:p>
        </w:tc>
      </w:tr>
      <w:tr w14:paraId="6F015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29A404">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963D72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6940" w:type="dxa"/>
            <w:noWrap w:val="0"/>
            <w:vAlign w:val="center"/>
          </w:tcPr>
          <w:p w14:paraId="213C5A4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0BF5A63E">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55617B7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李先生</w:t>
            </w:r>
          </w:p>
          <w:p w14:paraId="213B09F0">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45502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F649EF">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08167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6940" w:type="dxa"/>
            <w:noWrap w:val="0"/>
            <w:vAlign w:val="center"/>
          </w:tcPr>
          <w:p w14:paraId="0D9F94A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6E7D0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866610">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D94FD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6940" w:type="dxa"/>
            <w:noWrap w:val="0"/>
            <w:vAlign w:val="center"/>
          </w:tcPr>
          <w:p w14:paraId="20FF1B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5568A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B001F1">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8D017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25A6C4A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6940" w:type="dxa"/>
            <w:noWrap w:val="0"/>
            <w:vAlign w:val="center"/>
          </w:tcPr>
          <w:p w14:paraId="2B32B0D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10D71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0804A53">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6FEFAE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6940" w:type="dxa"/>
            <w:noWrap w:val="0"/>
            <w:vAlign w:val="center"/>
          </w:tcPr>
          <w:p w14:paraId="32DF20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接受</w:t>
            </w:r>
          </w:p>
        </w:tc>
      </w:tr>
      <w:tr w14:paraId="014C0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EC61AA1">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4851DF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6940" w:type="dxa"/>
            <w:noWrap w:val="0"/>
            <w:vAlign w:val="center"/>
          </w:tcPr>
          <w:p w14:paraId="42CE55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1DEC9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12FD004">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39D73B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6940" w:type="dxa"/>
            <w:noWrap w:val="0"/>
            <w:vAlign w:val="center"/>
          </w:tcPr>
          <w:p w14:paraId="4CF0211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3F0D0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70D68C">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3FD1CE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6940" w:type="dxa"/>
            <w:noWrap w:val="0"/>
            <w:vAlign w:val="center"/>
          </w:tcPr>
          <w:p w14:paraId="4DB142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54C37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3ACD7AE">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EE7FFD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6940" w:type="dxa"/>
            <w:noWrap w:val="0"/>
            <w:vAlign w:val="center"/>
          </w:tcPr>
          <w:p w14:paraId="5FBDF98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3BEC7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B47DB8D">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8A0157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6940" w:type="dxa"/>
            <w:noWrap w:val="0"/>
            <w:vAlign w:val="center"/>
          </w:tcPr>
          <w:p w14:paraId="4A3CDC5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3811D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228C027">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409080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6940" w:type="dxa"/>
            <w:noWrap w:val="0"/>
            <w:vAlign w:val="center"/>
          </w:tcPr>
          <w:p w14:paraId="421C8FC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640FC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87394A">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4A3E37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6940" w:type="dxa"/>
            <w:noWrap w:val="0"/>
            <w:vAlign w:val="center"/>
          </w:tcPr>
          <w:p w14:paraId="739DD1C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14AD1E5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552BB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CF11A9">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B9743F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6940" w:type="dxa"/>
            <w:noWrap w:val="0"/>
            <w:vAlign w:val="center"/>
          </w:tcPr>
          <w:p w14:paraId="2CFEF75F">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9E9643F">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1889AE3">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37EB5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ACDDC5">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CF0A403">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6940" w:type="dxa"/>
            <w:noWrap w:val="0"/>
            <w:vAlign w:val="center"/>
          </w:tcPr>
          <w:p w14:paraId="58BABA11">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浙江省温州市平阳县昆阳镇汉森世家1栋1单元902室 </w:t>
            </w:r>
            <w:r>
              <w:rPr>
                <w:rFonts w:hint="eastAsia" w:ascii="宋体" w:hAnsi="宋体" w:eastAsia="宋体" w:cs="宋体"/>
                <w:color w:val="auto"/>
                <w:sz w:val="22"/>
                <w:szCs w:val="22"/>
                <w:highlight w:val="none"/>
                <w:lang w:eastAsia="zh-CN"/>
              </w:rPr>
              <w:t>李先生</w:t>
            </w:r>
            <w:r>
              <w:rPr>
                <w:rFonts w:hint="eastAsia" w:ascii="宋体" w:hAnsi="宋体" w:eastAsia="宋体" w:cs="宋体"/>
                <w:color w:val="auto"/>
                <w:sz w:val="22"/>
                <w:szCs w:val="22"/>
                <w:highlight w:val="none"/>
              </w:rPr>
              <w:t xml:space="preserve">收 </w:t>
            </w:r>
            <w:r>
              <w:rPr>
                <w:rFonts w:hint="eastAsia" w:ascii="宋体" w:hAnsi="宋体" w:eastAsia="宋体" w:cs="宋体"/>
                <w:color w:val="auto"/>
                <w:sz w:val="22"/>
                <w:szCs w:val="22"/>
                <w:highlight w:val="none"/>
                <w:lang w:eastAsia="zh-CN"/>
              </w:rPr>
              <w:t>13029688868</w:t>
            </w:r>
            <w:r>
              <w:rPr>
                <w:rFonts w:hint="eastAsia" w:ascii="宋体" w:hAnsi="宋体" w:eastAsia="宋体" w:cs="宋体"/>
                <w:color w:val="auto"/>
                <w:sz w:val="22"/>
                <w:szCs w:val="22"/>
                <w:highlight w:val="none"/>
              </w:rPr>
              <w:t>））或者发至邮箱</w:t>
            </w:r>
            <w:r>
              <w:rPr>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CD51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67B18A">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0EB3883">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6940" w:type="dxa"/>
            <w:noWrap w:val="0"/>
            <w:vAlign w:val="center"/>
          </w:tcPr>
          <w:p w14:paraId="1F1CD384">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321D415B">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3A0E2F59">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6654C683">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43895508">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18666436">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3696935E">
            <w:pPr>
              <w:pStyle w:val="18"/>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6281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1AA8317">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7D89D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6940" w:type="dxa"/>
            <w:noWrap w:val="0"/>
            <w:vAlign w:val="center"/>
          </w:tcPr>
          <w:p w14:paraId="6756BCD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479B3FE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6D16130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275E4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1687F74">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09A71F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940" w:type="dxa"/>
            <w:noWrap w:val="0"/>
            <w:vAlign w:val="center"/>
          </w:tcPr>
          <w:p w14:paraId="329EDF2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020C5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021741">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12394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p>
        </w:tc>
        <w:tc>
          <w:tcPr>
            <w:tcW w:w="6940" w:type="dxa"/>
            <w:noWrap w:val="0"/>
            <w:vAlign w:val="center"/>
          </w:tcPr>
          <w:p w14:paraId="21286727">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7F17B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F0239DC">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C52B86E">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6940" w:type="dxa"/>
            <w:noWrap w:val="0"/>
            <w:vAlign w:val="center"/>
          </w:tcPr>
          <w:p w14:paraId="3F56284F">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向采购人提供合同总价1%的履约保证金（转账或保函）。</w:t>
            </w:r>
          </w:p>
        </w:tc>
      </w:tr>
      <w:tr w14:paraId="77EE6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0BB4F65">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0FAE6D3">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940" w:type="dxa"/>
            <w:noWrap w:val="0"/>
            <w:vAlign w:val="center"/>
          </w:tcPr>
          <w:p w14:paraId="4C717781">
            <w:pPr>
              <w:pStyle w:val="2"/>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25684"/>
            <w:bookmarkStart w:id="5" w:name="_Toc11510"/>
            <w:bookmarkStart w:id="6" w:name="_Toc26701"/>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02021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FF93C41">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150248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6940" w:type="dxa"/>
            <w:noWrap w:val="0"/>
            <w:vAlign w:val="center"/>
          </w:tcPr>
          <w:p w14:paraId="061D36C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：新征程（杭州）招标代理有限公司</w:t>
            </w:r>
          </w:p>
          <w:p w14:paraId="700B319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浙江省温州市平阳县昆阳镇汉森世家1栋1单元902室</w:t>
            </w:r>
          </w:p>
          <w:p w14:paraId="0C3067C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：李先生</w:t>
            </w:r>
          </w:p>
          <w:p w14:paraId="31CF153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：13029688868</w:t>
            </w:r>
          </w:p>
        </w:tc>
      </w:tr>
      <w:tr w14:paraId="485DA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C9E30B">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BA713E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6940" w:type="dxa"/>
            <w:noWrap w:val="0"/>
            <w:vAlign w:val="center"/>
          </w:tcPr>
          <w:p w14:paraId="6047DD93">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B315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E64DAF">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5E89A9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6940" w:type="dxa"/>
            <w:noWrap w:val="0"/>
            <w:vAlign w:val="center"/>
          </w:tcPr>
          <w:p w14:paraId="6C8C45DE">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同级采购监管管理部门名称：平阳县城市建设投资有限公司纪检监察室</w:t>
            </w:r>
          </w:p>
          <w:p w14:paraId="71FD693A">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联系人：潘先生</w:t>
            </w:r>
          </w:p>
          <w:p w14:paraId="3CC59350">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监督投诉电话：0577-</w:t>
            </w:r>
            <w:r>
              <w:rPr>
                <w:rFonts w:hint="eastAsia" w:ascii="宋体" w:hAnsi="宋体" w:cs="宋体"/>
                <w:color w:val="auto"/>
                <w:sz w:val="22"/>
                <w:szCs w:val="22"/>
                <w:highlight w:val="none"/>
                <w:lang w:eastAsia="zh-CN"/>
              </w:rPr>
              <w:t>58193517</w:t>
            </w:r>
          </w:p>
          <w:p w14:paraId="5C0CC874">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C32FBE5">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地址：平阳县昆阳镇飞鳌大道与状元路交叉路口</w:t>
            </w:r>
          </w:p>
        </w:tc>
      </w:tr>
      <w:tr w14:paraId="66A6E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C2456BB">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E69F09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6940" w:type="dxa"/>
            <w:noWrap w:val="0"/>
            <w:vAlign w:val="center"/>
          </w:tcPr>
          <w:p w14:paraId="072F6D0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1BA5D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04C85D4">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F47944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51CBFBB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6940" w:type="dxa"/>
            <w:noWrap w:val="0"/>
            <w:vAlign w:val="center"/>
          </w:tcPr>
          <w:p w14:paraId="422431B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9月25日</w:t>
            </w:r>
            <w:r>
              <w:rPr>
                <w:rFonts w:hint="eastAsia" w:ascii="宋体" w:hAnsi="宋体" w:eastAsia="宋体" w:cs="宋体"/>
                <w:color w:val="auto"/>
                <w:sz w:val="22"/>
                <w:szCs w:val="22"/>
                <w:highlight w:val="none"/>
                <w:shd w:val="clear" w:color="auto" w:fill="FFFFFF"/>
              </w:rPr>
              <w:t>09:30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700A71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67817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BE7DB8">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145152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271A997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6940" w:type="dxa"/>
            <w:noWrap w:val="0"/>
            <w:vAlign w:val="center"/>
          </w:tcPr>
          <w:p w14:paraId="057AC5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73123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B197DF1">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750F9DA">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6940" w:type="dxa"/>
            <w:noWrap w:val="0"/>
            <w:vAlign w:val="center"/>
          </w:tcPr>
          <w:p w14:paraId="244E3C01">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5CD1396E">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29FE7B28">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2B6E6D9D">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0C3D85DF">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55093282">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68C86E13">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2FFD60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E019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7A34A6">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5BCD46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6940" w:type="dxa"/>
            <w:noWrap w:val="0"/>
            <w:vAlign w:val="center"/>
          </w:tcPr>
          <w:p w14:paraId="174821D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E4C465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1E1036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3A71B6F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44882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789727">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F20FBA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6940" w:type="dxa"/>
            <w:noWrap w:val="0"/>
            <w:vAlign w:val="center"/>
          </w:tcPr>
          <w:p w14:paraId="262CA5A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08258C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8"/>
                <w:rFonts w:hint="eastAsia" w:ascii="宋体" w:hAnsi="宋体" w:eastAsia="宋体" w:cs="宋体"/>
                <w:color w:val="auto"/>
                <w:sz w:val="22"/>
                <w:szCs w:val="22"/>
                <w:highlight w:val="none"/>
                <w:lang w:eastAsia="zh-CN"/>
              </w:rPr>
              <w:t>250785507@qq.com</w:t>
            </w:r>
            <w:r>
              <w:rPr>
                <w:rFonts w:hint="eastAsia" w:ascii="宋体" w:hAnsi="宋体" w:eastAsia="宋体" w:cs="宋体"/>
                <w:color w:val="auto"/>
                <w:sz w:val="22"/>
                <w:szCs w:val="22"/>
                <w:highlight w:val="none"/>
              </w:rPr>
              <w:t>；</w:t>
            </w:r>
          </w:p>
        </w:tc>
      </w:tr>
      <w:tr w14:paraId="1EE1C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3BC7CB9">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585C92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6940" w:type="dxa"/>
            <w:noWrap w:val="0"/>
            <w:vAlign w:val="center"/>
          </w:tcPr>
          <w:p w14:paraId="0F316FE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9C41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C9534B">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B8BD8D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6940" w:type="dxa"/>
            <w:noWrap w:val="0"/>
            <w:vAlign w:val="center"/>
          </w:tcPr>
          <w:p w14:paraId="02D3F6D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2053AE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4450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B8C97C0">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03A049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6940" w:type="dxa"/>
            <w:noWrap w:val="0"/>
            <w:vAlign w:val="center"/>
          </w:tcPr>
          <w:p w14:paraId="315397D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BE63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ADFFE3E">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5FDDC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6940" w:type="dxa"/>
            <w:noWrap w:val="0"/>
            <w:vAlign w:val="center"/>
          </w:tcPr>
          <w:p w14:paraId="34E58583">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53F02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10C506">
            <w:pPr>
              <w:keepNext w:val="0"/>
              <w:keepLines w:val="0"/>
              <w:widowControl/>
              <w:numPr>
                <w:ilvl w:val="0"/>
                <w:numId w:val="2"/>
              </w:numPr>
              <w:suppressLineNumbers w:val="0"/>
              <w:shd w:val="clear" w:color="auto" w:fill="auto"/>
              <w:tabs>
                <w:tab w:val="left" w:pos="420"/>
                <w:tab w:val="clear" w:pos="0"/>
              </w:tabs>
              <w:wordWrap/>
              <w:spacing w:before="0" w:beforeAutospacing="0" w:after="0" w:afterAutospacing="0" w:line="36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4B3CB15">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联合体投标说明</w:t>
            </w:r>
          </w:p>
        </w:tc>
        <w:tc>
          <w:tcPr>
            <w:tcW w:w="6940" w:type="dxa"/>
            <w:shd w:val="clear" w:color="auto" w:fill="auto"/>
            <w:noWrap w:val="0"/>
            <w:vAlign w:val="center"/>
          </w:tcPr>
          <w:p w14:paraId="60D788B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联合体投标的仅需牵头人盖电子章，在投标时同时上传联合体协议书（联合体成员均须盖章），其他成员只需盖章后扫描上传即可，如对联合体投标有操作上的疑问，可联系采购代理机构。</w:t>
            </w:r>
          </w:p>
        </w:tc>
      </w:tr>
    </w:tbl>
    <w:p w14:paraId="50666E14">
      <w:pPr>
        <w:pStyle w:val="9"/>
        <w:shd w:val="clear" w:color="auto" w:fill="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start="1"/>
          <w:cols w:space="720" w:num="1"/>
          <w:docGrid w:linePitch="312" w:charSpace="0"/>
        </w:sectPr>
      </w:pPr>
    </w:p>
    <w:p w14:paraId="7BC84EE7">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2CFF418D">
      <w:pPr>
        <w:shd w:val="clear" w:color="auto" w:fill="auto"/>
        <w:spacing w:line="480" w:lineRule="auto"/>
        <w:jc w:val="center"/>
        <w:rPr>
          <w:rFonts w:hint="eastAsia" w:ascii="宋体" w:hAnsi="宋体" w:eastAsia="宋体" w:cs="宋体"/>
          <w:color w:val="auto"/>
          <w:sz w:val="24"/>
          <w:highlight w:val="none"/>
        </w:rPr>
      </w:pPr>
    </w:p>
    <w:p w14:paraId="0172530A">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AF1602">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495BAA">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68CC75F">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A13B5B">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61047A">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A12E194">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F8B062">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907316">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C84B14">
      <w:pPr>
        <w:pStyle w:val="21"/>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BEB580">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6914CE7">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707373">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FB093E">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6857AB">
      <w:pPr>
        <w:pStyle w:val="18"/>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CA70F0">
      <w:pPr>
        <w:pStyle w:val="11"/>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03732065">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208C56D0">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15FF953A">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52B7C212">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1EFA0D05">
      <w:pPr>
        <w:pStyle w:val="20"/>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7800"/>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76198968">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新征程（杭州）招标代理有限公司</w:t>
      </w:r>
      <w:r>
        <w:rPr>
          <w:rFonts w:hint="eastAsia" w:ascii="宋体" w:hAnsi="宋体" w:eastAsia="宋体" w:cs="宋体"/>
          <w:color w:val="auto"/>
          <w:sz w:val="22"/>
          <w:szCs w:val="22"/>
          <w:highlight w:val="none"/>
        </w:rPr>
        <w:t>受</w:t>
      </w:r>
      <w:r>
        <w:rPr>
          <w:rFonts w:hint="eastAsia" w:ascii="宋体" w:hAnsi="宋体" w:cs="宋体"/>
          <w:color w:val="auto"/>
          <w:sz w:val="22"/>
          <w:szCs w:val="22"/>
          <w:highlight w:val="none"/>
          <w:lang w:eastAsia="zh-CN"/>
        </w:rPr>
        <w:t>平阳县城市建设投资有限公司</w:t>
      </w:r>
      <w:r>
        <w:rPr>
          <w:rFonts w:hint="eastAsia" w:ascii="宋体" w:hAnsi="宋体" w:eastAsia="宋体" w:cs="宋体"/>
          <w:color w:val="auto"/>
          <w:sz w:val="22"/>
          <w:szCs w:val="22"/>
          <w:highlight w:val="none"/>
        </w:rPr>
        <w:t>委托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以公开招标方式采购</w:t>
      </w:r>
      <w:r>
        <w:rPr>
          <w:rFonts w:hint="eastAsia" w:ascii="宋体" w:hAnsi="宋体" w:cs="宋体"/>
          <w:color w:val="auto"/>
          <w:sz w:val="22"/>
          <w:szCs w:val="22"/>
          <w:highlight w:val="none"/>
          <w:lang w:eastAsia="zh-CN"/>
        </w:rPr>
        <w:t>平阳站前片区城市设计、控制性详细规划服务</w:t>
      </w:r>
      <w:r>
        <w:rPr>
          <w:rFonts w:hint="eastAsia" w:ascii="宋体" w:hAnsi="宋体" w:eastAsia="宋体" w:cs="宋体"/>
          <w:color w:val="auto"/>
          <w:sz w:val="22"/>
          <w:szCs w:val="22"/>
          <w:highlight w:val="none"/>
        </w:rPr>
        <w:t>，本次招标资金已经落实。</w:t>
      </w:r>
    </w:p>
    <w:p w14:paraId="00228080">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我们热情欢迎有关公司（企业）前来进行投标。</w:t>
      </w:r>
    </w:p>
    <w:bookmarkEnd w:id="11"/>
    <w:p w14:paraId="4F9C2EB9">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szCs w:val="36"/>
          <w:highlight w:val="none"/>
        </w:rPr>
      </w:pPr>
      <w:bookmarkStart w:id="12" w:name="_Toc15020"/>
      <w:r>
        <w:rPr>
          <w:rFonts w:hint="eastAsia" w:ascii="宋体" w:hAnsi="宋体" w:eastAsia="宋体" w:cs="宋体"/>
          <w:b/>
          <w:color w:val="auto"/>
          <w:sz w:val="36"/>
          <w:szCs w:val="36"/>
          <w:highlight w:val="none"/>
        </w:rPr>
        <w:t>采购内容及技术要求</w:t>
      </w:r>
      <w:bookmarkEnd w:id="12"/>
    </w:p>
    <w:p w14:paraId="3CE454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一、项目背景</w:t>
      </w:r>
    </w:p>
    <w:p w14:paraId="20812281">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1.区域一体化发展需求</w:t>
      </w:r>
    </w:p>
    <w:p w14:paraId="5A13E1B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平阳县是温州都市区副中心重要城市之一，承担“鳌江流域现代服务业中心、综合交通枢纽、浙南时尚智造集聚区”三大职能。昆鳌协同区是平阳推进南北一体化发展的核心抓手，平阳站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片区作为协同区西南门户，需依托高铁枢纽优势，打造站城融合、产业创新、文旅消费联动的综合性城市功能区。</w:t>
      </w:r>
    </w:p>
    <w:p w14:paraId="579ED08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2.上位规划要求</w:t>
      </w:r>
    </w:p>
    <w:p w14:paraId="73F55BF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《平阳县国土空间总体规划（2021-2035）》：明确站前片区为“一体化融合发展轴”关键节点，定位“高铁门户商务核”，需强化与昆阳城东新区、鳌江滨江中心的联动。</w:t>
      </w:r>
    </w:p>
    <w:p w14:paraId="7BFC34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《昆鳌协同区综合提升城市设计》：提出“三廊两脉、八片共生”空间结构，站前片区重点发展商务商贸、创新研发、文旅消费功能。</w:t>
      </w:r>
    </w:p>
    <w:p w14:paraId="027BA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二、项目区位</w:t>
      </w:r>
    </w:p>
    <w:p w14:paraId="51142E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位于浙江省温州市平阳县东部，鳌江镇区104国道西侧，距温州市区约50公里，距鳌江港约5公里。项目西侧临近荆溪山，处于温州都市区副中心、环古盘山公园城镇空间结构内。</w:t>
      </w:r>
    </w:p>
    <w:p w14:paraId="3E6DDE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三、设计范围与层次</w:t>
      </w:r>
    </w:p>
    <w:p w14:paraId="73D3B20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本次规划范围主要为平阳站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片区，统筹考虑对站后片区的带动作用。</w:t>
      </w:r>
      <w:r>
        <w:rPr>
          <w:rFonts w:hint="eastAsia" w:ascii="宋体" w:hAnsi="宋体" w:cs="宋体"/>
          <w:color w:val="auto"/>
          <w:sz w:val="22"/>
          <w:szCs w:val="22"/>
          <w:highlight w:val="none"/>
          <w:lang w:val="en-US" w:eastAsia="zh-CN"/>
        </w:rPr>
        <w:t>并且梳理与昆鳌协同区及温福高铁的关联。</w:t>
      </w:r>
    </w:p>
    <w:p w14:paraId="6A6B171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片区：东至鸽巢河，西至山脚线，南至六分线（原104国道），北至温福铁路，总面积约3.64平方公里。</w:t>
      </w:r>
    </w:p>
    <w:p w14:paraId="74B7A3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站后片：</w:t>
      </w:r>
      <w:r>
        <w:rPr>
          <w:rFonts w:hint="eastAsia" w:ascii="宋体" w:hAnsi="宋体" w:eastAsia="宋体" w:cs="宋体"/>
          <w:color w:val="auto"/>
          <w:sz w:val="22"/>
          <w:szCs w:val="22"/>
          <w:highlight w:val="none"/>
        </w:rPr>
        <w:t>站后片区主要包括荆溪山及周边山体、农田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总面积约7.86</w:t>
      </w:r>
      <w:r>
        <w:rPr>
          <w:rFonts w:hint="eastAsia" w:ascii="宋体" w:hAnsi="宋体" w:eastAsia="宋体" w:cs="宋体"/>
          <w:color w:val="auto"/>
          <w:sz w:val="22"/>
          <w:szCs w:val="22"/>
          <w:highlight w:val="none"/>
        </w:rPr>
        <w:t>平方公里（具体范围按规划深入后确定）</w:t>
      </w:r>
    </w:p>
    <w:p w14:paraId="46B71BE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本次规划范围内规划任务包括平阳站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片区的控制性详细规划和实施性城市设计</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lang w:val="en-US" w:eastAsia="zh-CN"/>
        </w:rPr>
        <w:t>站后片概念规划设计。</w:t>
      </w:r>
    </w:p>
    <w:p w14:paraId="4471E9D8">
      <w:pPr>
        <w:jc w:val="center"/>
        <w:rPr>
          <w:rFonts w:hint="default" w:ascii="仿宋" w:hAnsi="仿宋" w:eastAsia="仿宋" w:cs="仿宋"/>
          <w:color w:val="auto"/>
          <w:sz w:val="22"/>
          <w:szCs w:val="22"/>
          <w:highlight w:val="none"/>
          <w:lang w:val="en-US"/>
        </w:rPr>
      </w:pPr>
    </w:p>
    <w:p w14:paraId="3372C88D">
      <w:pPr>
        <w:pStyle w:val="25"/>
        <w:rPr>
          <w:rFonts w:hint="eastAsia"/>
          <w:color w:val="auto"/>
          <w:sz w:val="22"/>
          <w:szCs w:val="22"/>
          <w:highlight w:val="none"/>
        </w:rPr>
      </w:pPr>
      <w:r>
        <w:rPr>
          <w:rFonts w:hint="eastAsia" w:ascii="仿宋" w:hAnsi="仿宋" w:eastAsia="仿宋" w:cs="仿宋"/>
          <w:color w:val="auto"/>
          <w:sz w:val="22"/>
          <w:szCs w:val="22"/>
          <w:highlight w:val="none"/>
          <w:lang w:eastAsia="zh-CN"/>
        </w:rPr>
        <w:drawing>
          <wp:inline distT="0" distB="0" distL="114300" distR="114300">
            <wp:extent cx="5265420" cy="5265420"/>
            <wp:effectExtent l="0" t="0" r="11430" b="11430"/>
            <wp:docPr id="11" name="图片 11" descr="微信图片_2025073109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731092244"/>
                    <pic:cNvPicPr>
                      <a:picLocks noChangeAspect="1"/>
                    </pic:cNvPicPr>
                  </pic:nvPicPr>
                  <pic:blipFill>
                    <a:blip r:embed="rId14"/>
                    <a:stretch>
                      <a:fillRect/>
                    </a:stretch>
                  </pic:blipFill>
                  <pic:spPr>
                    <a:xfrm>
                      <a:off x="0" y="0"/>
                      <a:ext cx="5265420" cy="5265420"/>
                    </a:xfrm>
                    <a:prstGeom prst="rect">
                      <a:avLst/>
                    </a:prstGeom>
                  </pic:spPr>
                </pic:pic>
              </a:graphicData>
            </a:graphic>
          </wp:inline>
        </w:drawing>
      </w:r>
    </w:p>
    <w:p w14:paraId="0056E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平阳站前片区</w:t>
      </w:r>
      <w:r>
        <w:rPr>
          <w:rFonts w:hint="eastAsia" w:ascii="宋体" w:hAnsi="宋体" w:cs="宋体"/>
          <w:b/>
          <w:bCs/>
          <w:color w:val="auto"/>
          <w:sz w:val="22"/>
          <w:szCs w:val="22"/>
          <w:highlight w:val="none"/>
          <w:lang w:val="en-US" w:eastAsia="zh-CN"/>
        </w:rPr>
        <w:t>及站后片</w:t>
      </w:r>
      <w:r>
        <w:rPr>
          <w:rFonts w:hint="eastAsia" w:ascii="宋体" w:hAnsi="宋体" w:eastAsia="宋体" w:cs="宋体"/>
          <w:b/>
          <w:bCs/>
          <w:color w:val="auto"/>
          <w:sz w:val="22"/>
          <w:szCs w:val="22"/>
          <w:highlight w:val="none"/>
        </w:rPr>
        <w:t>规划设计范围示意图</w:t>
      </w:r>
    </w:p>
    <w:p w14:paraId="75EB842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1.控制性详细规划</w:t>
      </w:r>
    </w:p>
    <w:p w14:paraId="1BB4E2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约3.64平方千米范围内，以国土空间规划及其他相关规划为依据，以满足规划管理需求为导向，对一定时期内各规划单元的土地使用、人口分布、公共设施、城市基础设施进行具体安排，对各项建设进行规划引导，形成指导规划实施和管理的规划文件。</w:t>
      </w:r>
    </w:p>
    <w:p w14:paraId="0CD64C8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2.城市设计</w:t>
      </w:r>
    </w:p>
    <w:p w14:paraId="53C07C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城市设计范围包括平阳站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约3.64平方千米范围，并将协同区、站后片区一并纳入研究范围统筹考虑。城市设计将充分挖掘区域特色、产业发展潜力，妥善处理好滨河景观、标志建筑与开放空间的关系，协调城市建筑界面与景观环境的互动性，深入研究协同区西塘河北侧用地与周边地块未来的产业方向几建筑空间形态，具体包括但不限于片区总体定位、设计理念、功能布局、水岸岸线设计、慢行系统设计、景观风貌设计等相关内容；同时，对重要建筑组群或单体的功能组织和空间设计进行深化细化，并统筹考虑开发时序、开发模式等内容。站后片区主要从区位条件、资源禀赋、资源集聚能力以及福温高铁通车之后带来的外部条件变化等多角度出发，构建新一轮发展的基础条件，谋划发展新动力；对片区的目标定位、空间结构、功能布局、综合交通等进行设计。</w:t>
      </w:r>
    </w:p>
    <w:p w14:paraId="1093986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3.概念规划</w:t>
      </w:r>
    </w:p>
    <w:p w14:paraId="748122E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站后片区要从区位条件、资源禀赋、资源集聚能力以及福温高铁通车之后带来的外部条件变化等多角度出发，构建新一轮发展的基础条件，谋划发展新动力；规划将从区域协同层面进行资源梳理、空间统筹和功能布局，谋划发展新路径，结合国际先进地区的发展案例，对片区的目标定位、空间结构、功能布局、综合交通等进行设计，达到概念规划深度。</w:t>
      </w:r>
    </w:p>
    <w:p w14:paraId="3C077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四、规划原则</w:t>
      </w:r>
    </w:p>
    <w:p w14:paraId="0DE75F6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功能复合：以“站城一体”为导向，融合商务、研发、居住、文旅功能，构建15分钟生活圈。</w:t>
      </w:r>
    </w:p>
    <w:p w14:paraId="32AD3B5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交通优先：优化轻轨S3线线位（推荐沿协同大道-广场路布局），建设动态绿波带与立体交通枢纽。</w:t>
      </w:r>
    </w:p>
    <w:p w14:paraId="18BAE19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生态赋能：采用EOD模式修复西塘河生态廊道，联动发展绿色产业。</w:t>
      </w:r>
    </w:p>
    <w:p w14:paraId="25BFBD9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文化彰显：塑造“高铁+文化”特色风貌。</w:t>
      </w:r>
    </w:p>
    <w:p w14:paraId="274AF9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w:t>
      </w:r>
      <w:bookmarkStart w:id="13" w:name="_Toc2062746702_WPSOffice_Level1"/>
      <w:r>
        <w:rPr>
          <w:rFonts w:hint="eastAsia" w:ascii="宋体" w:hAnsi="宋体" w:eastAsia="宋体" w:cs="宋体"/>
          <w:b/>
          <w:bCs/>
          <w:color w:val="auto"/>
          <w:sz w:val="22"/>
          <w:szCs w:val="22"/>
          <w:highlight w:val="none"/>
        </w:rPr>
        <w:t>任务内容</w:t>
      </w:r>
      <w:bookmarkEnd w:id="13"/>
    </w:p>
    <w:p w14:paraId="6E4BA6E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规划内容城市设计，城市设计符合《浙江省城市设计编制导则》中要求编制。</w:t>
      </w:r>
    </w:p>
    <w:p w14:paraId="1A4324CC">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1.城市设计</w:t>
      </w:r>
    </w:p>
    <w:p w14:paraId="1CCB7D8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充分考虑福温高铁开通后对片区的影响，站在新的发展背景下考虑片区发展定位，以最新的规划设计理念提出规划设计思路，合理确定片区未开发区域的建设强度、开放空间系统、建筑群体、交通组织、环境景观、地下空间、建筑风貌等要素，深化未开发地块的设计、提出规划设计条件，同时对已开发地块提出更新提升方案，并充分考虑与站后区域、特别是协同区的联动关系。</w:t>
      </w:r>
    </w:p>
    <w:p w14:paraId="4401421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（1）设计目标：根据项目的现状条件、功能和业态要求、周边交通、景观要素等，提出整体风貌特征的目标。</w:t>
      </w:r>
    </w:p>
    <w:p w14:paraId="599A45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（2）开放空间：确定广场、街道、公园绿地的功能布局、空间形态、交通组织和环境景观。</w:t>
      </w:r>
    </w:p>
    <w:p w14:paraId="3A163E8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（3）建筑群体：</w:t>
      </w:r>
    </w:p>
    <w:p w14:paraId="03ADAEB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1）确定建筑的高度、体量、形态及建筑群体的空间组合关系，并对建筑风格、立面材料及色彩等提出引导要求。</w:t>
      </w:r>
    </w:p>
    <w:p w14:paraId="1EB029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2）对历史街区、传统风貌保护区内及其相邻建筑的高度、体量、肌理、风格、色彩、材质等提出控制要求。</w:t>
      </w:r>
    </w:p>
    <w:p w14:paraId="661D82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3）确定公园绿地、广场、 街道等界面的建筑后退、建筑高度、底层建筑形式、功能和界面连续性，并对立面风格、色彩、材料等提出设计要求。</w:t>
      </w:r>
    </w:p>
    <w:p w14:paraId="62CF2F5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4）涉及住宅、医院、学校等的项目还应进行日照分析，满足相关规定要求。</w:t>
      </w:r>
    </w:p>
    <w:p w14:paraId="5910288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（4）交通组织：</w:t>
      </w:r>
    </w:p>
    <w:p w14:paraId="29D0506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1）根据高铁接入平阳站的场景，研究平阳站枢纽的能级变化与服务功能的变化，提出平阳站的交通枢纽定位，布局平阳站新老站房。</w:t>
      </w:r>
    </w:p>
    <w:p w14:paraId="64D6614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2）研究高铁枢纽建设与规划S3、周边道路网及交通配套设施等造成的影响，提出相应的组织模式和规划方案。</w:t>
      </w:r>
    </w:p>
    <w:p w14:paraId="1FE594D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3）研究平阳站交通配套规模和相应位置。</w:t>
      </w:r>
    </w:p>
    <w:p w14:paraId="59057E6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4）组织步行与车行交通，并满足消防要求。</w:t>
      </w:r>
    </w:p>
    <w:p w14:paraId="701EA13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5）确定步行通道的位置，确定空中连廊和地下通道的宽度、 标高及建筑预留接口要求。</w:t>
      </w:r>
    </w:p>
    <w:p w14:paraId="4284BA2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（5）环境景观设施：</w:t>
      </w:r>
    </w:p>
    <w:p w14:paraId="6319F4A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1）提出公园绿地、广场、街道等开放空间的绿化种植方式，对古树名木或现状特色植物提出保护措施。</w:t>
      </w:r>
    </w:p>
    <w:p w14:paraId="54C6E4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片区已开发用地风貌提升提出要求和提升措施、对公园、城市广场等的地面铺装的形式、色彩、 材质提出设计要求。</w:t>
      </w:r>
    </w:p>
    <w:p w14:paraId="5903303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（6）地下空间：</w:t>
      </w:r>
    </w:p>
    <w:p w14:paraId="783DBC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1）确定地下空间的位置、范围、用途、出入口及垂直交通设施的位置，对公共的地下（半地下）广场、通道等的环境景观特色提出设计要求。</w:t>
      </w:r>
    </w:p>
    <w:p w14:paraId="55AAD37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2）确定规划范围内不同地下空间之间、 与规划范围外相邻地下空间之间的联系通道的位置、宽度、标高。</w:t>
      </w:r>
    </w:p>
    <w:p w14:paraId="107420F4">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2.控制性详细规划</w:t>
      </w:r>
    </w:p>
    <w:p w14:paraId="2A2C8E8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性详细规划应当包括下列基本内容：土地使用性质及其兼容性等用地功能控制要求；容积率、建筑高度、建筑密度、绿地率等用地指标；基础设施、公共服务设施、公共安全设施的用地规模、范围及具体控制要求，地下管线控制要求；基础设施用地的控制界线（黄线）、各类绿地范围的控制线（绿线）、历史文化街区和历史建筑的保护范围界线（紫线）、地表水体保护和控制的地域界线（蓝线）等“四线”及控制要求。</w:t>
      </w:r>
    </w:p>
    <w:p w14:paraId="5892BAE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（1）用地布局规划：</w:t>
      </w:r>
    </w:p>
    <w:p w14:paraId="14D1EF7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依据城市总体规划和相关专项规划，合理确定规划范围内城市（镇）建设用地与非城市（镇）建设用地。</w:t>
      </w:r>
    </w:p>
    <w:p w14:paraId="65853F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（2）“六线”控制：</w:t>
      </w:r>
    </w:p>
    <w:p w14:paraId="09F335A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“六线”是指道路红线、城市绿线、城市蓝线、紫线、公益性公共设施橙线和城市黄线等六线。其控制内容应在进行专项研究和系统规划基础上，确定线位、规模及所附属的控制要求。</w:t>
      </w:r>
    </w:p>
    <w:p w14:paraId="3E73071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（3）公共设施规划：</w:t>
      </w:r>
    </w:p>
    <w:p w14:paraId="1257E88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确定各类公共设施的规划原则及其规划控制要求。</w:t>
      </w:r>
    </w:p>
    <w:p w14:paraId="0D7B120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（4）道路交通规划：</w:t>
      </w:r>
    </w:p>
    <w:p w14:paraId="0C7064D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开展交通定量分析工作，进行土地开发强度与交通系统承载力的匹配分析，为确定单元和各街区合理的开发容量提供依据。提出单元交通需要解决的主要问题、相应的交通发展策略以及道路交通设施布局方案。</w:t>
      </w:r>
    </w:p>
    <w:p w14:paraId="06C081D0">
      <w:pPr>
        <w:keepNext w:val="0"/>
        <w:keepLines w:val="0"/>
        <w:pageBreakBefore w:val="0"/>
        <w:widowControl w:val="0"/>
        <w:kinsoku/>
        <w:wordWrap/>
        <w:overflowPunct/>
        <w:topLinePunct w:val="0"/>
        <w:autoSpaceDE/>
        <w:autoSpaceDN/>
        <w:bidi w:val="0"/>
        <w:adjustRightInd/>
        <w:snapToGrid/>
        <w:spacing w:line="360" w:lineRule="auto"/>
        <w:ind w:left="6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（5）市政工程规划：</w:t>
      </w:r>
    </w:p>
    <w:p w14:paraId="1160EC6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合理确定各类市政设施的规划原则、服务范围、规模和用地边界，确定各类市政工程管线的管径、走向、布设方式及道路下各类管线的管位，并提出各类市政设施的规划控制要求。</w:t>
      </w:r>
    </w:p>
    <w:p w14:paraId="7AE99C2C">
      <w:pPr>
        <w:keepNext w:val="0"/>
        <w:keepLines w:val="0"/>
        <w:pageBreakBefore w:val="0"/>
        <w:widowControl w:val="0"/>
        <w:kinsoku/>
        <w:wordWrap/>
        <w:overflowPunct/>
        <w:topLinePunct w:val="0"/>
        <w:autoSpaceDE/>
        <w:autoSpaceDN/>
        <w:bidi w:val="0"/>
        <w:adjustRightInd/>
        <w:snapToGrid/>
        <w:spacing w:line="360" w:lineRule="auto"/>
        <w:ind w:firstLine="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（6）建筑限高控制：</w:t>
      </w:r>
    </w:p>
    <w:p w14:paraId="4E61CAF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根据城市建筑高度控制要求，确定单元的建筑限高控制。</w:t>
      </w:r>
    </w:p>
    <w:p w14:paraId="680651B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3.概念规划</w:t>
      </w:r>
    </w:p>
    <w:p w14:paraId="05EC557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（1）充分做好国内外的理论研究及案例分析，结合平阳站</w:t>
      </w:r>
      <w:r>
        <w:rPr>
          <w:rFonts w:hint="eastAsia" w:ascii="宋体" w:hAnsi="宋体" w:eastAsia="宋体" w:cs="宋体"/>
          <w:color w:val="auto"/>
          <w:sz w:val="22"/>
          <w:szCs w:val="22"/>
          <w:highlight w:val="none"/>
          <w:lang w:val="en-US" w:eastAsia="zh-CN"/>
        </w:rPr>
        <w:t>前</w:t>
      </w:r>
      <w:r>
        <w:rPr>
          <w:rFonts w:hint="eastAsia" w:ascii="宋体" w:hAnsi="宋体" w:eastAsia="宋体" w:cs="宋体"/>
          <w:color w:val="auto"/>
          <w:sz w:val="22"/>
          <w:szCs w:val="22"/>
          <w:highlight w:val="none"/>
        </w:rPr>
        <w:t>片区的规划定位和功能布局，挖掘站后片区各类资源，提出站前、站后联动发展的策略及站后片区的发展定位。</w:t>
      </w:r>
    </w:p>
    <w:p w14:paraId="5839F48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（2）确定站后片区的区域功能，城乡功能，根据国土空间规划成果和三调成果，提出概念方案并提出控制要求，并研究约束条件，给下一步工作开展提供依据。</w:t>
      </w:r>
    </w:p>
    <w:p w14:paraId="3848045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（3）组织站后片区的内部交通及站后片与站前片、周边区域的对外交通联系。</w:t>
      </w:r>
    </w:p>
    <w:p w14:paraId="6FDF2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六、成果要求</w:t>
      </w:r>
    </w:p>
    <w:p w14:paraId="0DDD7E4C">
      <w:pPr>
        <w:wordWrap w:val="0"/>
        <w:snapToGrid w:val="0"/>
        <w:spacing w:line="360" w:lineRule="auto"/>
        <w:ind w:firstLine="541" w:firstLineChars="24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本次规划的所有成果内容及深度均应严格符合相关法律、法规、标准和技术规范的要求。规划成果包括但不限于以下内容：</w:t>
      </w:r>
    </w:p>
    <w:p w14:paraId="4B34DDDB">
      <w:pPr>
        <w:wordWrap w:val="0"/>
        <w:snapToGrid w:val="0"/>
        <w:spacing w:line="360" w:lineRule="auto"/>
        <w:ind w:firstLine="543" w:firstLineChars="246"/>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1、纸质文件</w:t>
      </w:r>
      <w:r>
        <w:rPr>
          <w:rFonts w:hint="eastAsia" w:ascii="宋体" w:hAnsi="宋体" w:eastAsia="宋体" w:cs="宋体"/>
          <w:color w:val="auto"/>
          <w:kern w:val="0"/>
          <w:sz w:val="22"/>
          <w:szCs w:val="22"/>
          <w:highlight w:val="none"/>
        </w:rPr>
        <w:t>：规划文本、规划说明书、规划图纸和附件。</w:t>
      </w:r>
      <w:r>
        <w:rPr>
          <w:rFonts w:hint="eastAsia" w:ascii="宋体" w:hAnsi="宋体" w:cs="宋体"/>
          <w:color w:val="auto"/>
          <w:kern w:val="0"/>
          <w:sz w:val="22"/>
          <w:szCs w:val="22"/>
          <w:highlight w:val="none"/>
          <w:lang w:val="en-US" w:eastAsia="zh-CN"/>
        </w:rPr>
        <w:t>内容包括但不限于</w:t>
      </w:r>
      <w:r>
        <w:rPr>
          <w:rFonts w:hint="eastAsia" w:ascii="宋体" w:hAnsi="宋体" w:eastAsia="宋体" w:cs="宋体"/>
          <w:color w:val="auto"/>
          <w:sz w:val="22"/>
          <w:szCs w:val="22"/>
          <w:highlight w:val="none"/>
        </w:rPr>
        <w:t>含实施策略、分期计划、投资估算。</w:t>
      </w:r>
      <w:r>
        <w:rPr>
          <w:rFonts w:hint="eastAsia" w:ascii="宋体" w:hAnsi="宋体" w:eastAsia="宋体" w:cs="宋体"/>
          <w:color w:val="auto"/>
          <w:kern w:val="0"/>
          <w:sz w:val="22"/>
          <w:szCs w:val="22"/>
          <w:highlight w:val="none"/>
        </w:rPr>
        <w:t>规划设计图纸所表达的内容与应于规划设计方案及说明文本一致。</w:t>
      </w:r>
    </w:p>
    <w:p w14:paraId="408AF9CA">
      <w:pPr>
        <w:wordWrap w:val="0"/>
        <w:snapToGrid w:val="0"/>
        <w:spacing w:line="360" w:lineRule="auto"/>
        <w:ind w:firstLine="543" w:firstLineChars="246"/>
        <w:rPr>
          <w:rFonts w:hint="eastAsia" w:ascii="宋体" w:hAnsi="宋体" w:eastAsia="宋体" w:cs="宋体"/>
          <w:color w:val="auto"/>
          <w:kern w:val="0"/>
          <w:sz w:val="22"/>
          <w:szCs w:val="22"/>
          <w:highlight w:val="none"/>
        </w:rPr>
      </w:pPr>
      <w:r>
        <w:rPr>
          <w:rFonts w:hint="eastAsia" w:ascii="宋体" w:hAnsi="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主要</w:t>
      </w:r>
      <w:r>
        <w:rPr>
          <w:rFonts w:hint="eastAsia" w:ascii="宋体" w:hAnsi="宋体" w:cs="宋体"/>
          <w:b/>
          <w:bCs/>
          <w:color w:val="auto"/>
          <w:kern w:val="0"/>
          <w:sz w:val="22"/>
          <w:szCs w:val="22"/>
          <w:highlight w:val="none"/>
          <w:lang w:val="en-US" w:eastAsia="zh-CN"/>
        </w:rPr>
        <w:t>核心</w:t>
      </w:r>
      <w:r>
        <w:rPr>
          <w:rFonts w:hint="eastAsia" w:ascii="宋体" w:hAnsi="宋体" w:eastAsia="宋体" w:cs="宋体"/>
          <w:b/>
          <w:bCs/>
          <w:color w:val="auto"/>
          <w:kern w:val="0"/>
          <w:sz w:val="22"/>
          <w:szCs w:val="22"/>
          <w:highlight w:val="none"/>
        </w:rPr>
        <w:t>图纸</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包括</w:t>
      </w:r>
      <w:r>
        <w:rPr>
          <w:rFonts w:hint="eastAsia" w:ascii="宋体" w:hAnsi="宋体" w:eastAsia="宋体" w:cs="宋体"/>
          <w:color w:val="auto"/>
          <w:sz w:val="22"/>
          <w:szCs w:val="22"/>
          <w:highlight w:val="none"/>
        </w:rPr>
        <w:t>用地规划图、交通组织图、风貌管控图、产业布局图（CAD+JPG格式）</w:t>
      </w:r>
      <w:r>
        <w:rPr>
          <w:rFonts w:hint="eastAsia" w:ascii="宋体" w:hAnsi="宋体" w:cs="宋体"/>
          <w:color w:val="auto"/>
          <w:sz w:val="22"/>
          <w:szCs w:val="22"/>
          <w:highlight w:val="none"/>
          <w:lang w:val="en-US" w:eastAsia="zh-CN"/>
        </w:rPr>
        <w:t>等</w:t>
      </w:r>
      <w:r>
        <w:rPr>
          <w:rFonts w:hint="eastAsia" w:ascii="宋体" w:hAnsi="宋体" w:eastAsia="宋体" w:cs="宋体"/>
          <w:color w:val="auto"/>
          <w:sz w:val="22"/>
          <w:szCs w:val="22"/>
          <w:highlight w:val="none"/>
        </w:rPr>
        <w:t>。</w:t>
      </w:r>
    </w:p>
    <w:p w14:paraId="55DF877D">
      <w:pPr>
        <w:wordWrap w:val="0"/>
        <w:snapToGrid w:val="0"/>
        <w:spacing w:line="360" w:lineRule="auto"/>
        <w:ind w:firstLine="543" w:firstLineChars="246"/>
        <w:rPr>
          <w:rFonts w:ascii="宋体" w:hAnsi="宋体" w:eastAsia="宋体" w:cs="宋体"/>
          <w:color w:val="auto"/>
          <w:kern w:val="0"/>
          <w:sz w:val="22"/>
          <w:szCs w:val="22"/>
          <w:highlight w:val="none"/>
        </w:rPr>
      </w:pPr>
      <w:r>
        <w:rPr>
          <w:rFonts w:hint="eastAsia" w:ascii="宋体" w:hAnsi="宋体" w:cs="宋体"/>
          <w:b/>
          <w:bCs/>
          <w:color w:val="auto"/>
          <w:kern w:val="0"/>
          <w:sz w:val="22"/>
          <w:szCs w:val="22"/>
          <w:highlight w:val="none"/>
          <w:lang w:val="en-US" w:eastAsia="zh-CN"/>
        </w:rPr>
        <w:t>3、技术文件</w:t>
      </w:r>
      <w:r>
        <w:rPr>
          <w:rFonts w:hint="eastAsia" w:ascii="宋体" w:hAnsi="宋体" w:eastAsia="宋体" w:cs="宋体"/>
          <w:b/>
          <w:bCs/>
          <w:color w:val="auto"/>
          <w:kern w:val="0"/>
          <w:sz w:val="22"/>
          <w:szCs w:val="22"/>
          <w:highlight w:val="none"/>
        </w:rPr>
        <w:t>：</w:t>
      </w:r>
      <w:r>
        <w:rPr>
          <w:rFonts w:hint="eastAsia" w:ascii="宋体" w:hAnsi="宋体" w:eastAsia="宋体" w:cs="宋体"/>
          <w:color w:val="auto"/>
          <w:sz w:val="22"/>
          <w:szCs w:val="22"/>
          <w:highlight w:val="none"/>
        </w:rPr>
        <w:t>可行性报告：高铁场站建设与产业开发的经济平衡分析。</w:t>
      </w:r>
    </w:p>
    <w:p w14:paraId="3A3E2E59">
      <w:pPr>
        <w:wordWrap w:val="0"/>
        <w:snapToGrid w:val="0"/>
        <w:spacing w:line="360" w:lineRule="auto"/>
        <w:ind w:firstLine="543" w:firstLineChars="246"/>
        <w:rPr>
          <w:rFonts w:hint="eastAsia" w:ascii="宋体" w:hAnsi="宋体" w:eastAsia="宋体" w:cs="宋体"/>
          <w:color w:val="auto"/>
          <w:kern w:val="0"/>
          <w:sz w:val="22"/>
          <w:szCs w:val="22"/>
          <w:highlight w:val="none"/>
        </w:rPr>
      </w:pPr>
      <w:r>
        <w:rPr>
          <w:rFonts w:hint="eastAsia" w:ascii="宋体" w:hAnsi="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、电子文件：</w:t>
      </w:r>
      <w:r>
        <w:rPr>
          <w:rFonts w:hint="eastAsia" w:ascii="宋体" w:hAnsi="宋体" w:eastAsia="宋体" w:cs="宋体"/>
          <w:color w:val="auto"/>
          <w:kern w:val="0"/>
          <w:sz w:val="22"/>
          <w:szCs w:val="22"/>
          <w:highlight w:val="none"/>
        </w:rPr>
        <w:t>刻录为光盘或U盘形式（具体以采购人要求为准），内容包含</w:t>
      </w:r>
      <w:r>
        <w:rPr>
          <w:rFonts w:hint="eastAsia" w:ascii="宋体" w:hAnsi="宋体" w:cs="宋体"/>
          <w:color w:val="auto"/>
          <w:kern w:val="0"/>
          <w:sz w:val="22"/>
          <w:szCs w:val="22"/>
          <w:highlight w:val="none"/>
          <w:lang w:val="en-US" w:eastAsia="zh-CN"/>
        </w:rPr>
        <w:t>所有</w:t>
      </w:r>
      <w:r>
        <w:rPr>
          <w:rFonts w:hint="eastAsia" w:ascii="宋体" w:hAnsi="宋体" w:eastAsia="宋体" w:cs="宋体"/>
          <w:color w:val="auto"/>
          <w:kern w:val="0"/>
          <w:sz w:val="22"/>
          <w:szCs w:val="22"/>
          <w:highlight w:val="none"/>
        </w:rPr>
        <w:t>规划设计文本的电子稿，CAD图纸，JPG图纸、多媒体汇报文件等。</w:t>
      </w:r>
    </w:p>
    <w:p w14:paraId="4CD58A2E">
      <w:pPr>
        <w:wordWrap w:val="0"/>
        <w:snapToGrid w:val="0"/>
        <w:spacing w:line="360" w:lineRule="auto"/>
        <w:ind w:firstLine="541" w:firstLineChars="246"/>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规划设计文本的电子稿要求采用Microsoft word的.doc格式。</w:t>
      </w:r>
      <w:r>
        <w:rPr>
          <w:rFonts w:hint="eastAsia" w:ascii="宋体" w:hAnsi="宋体" w:cs="宋体"/>
          <w:color w:val="auto"/>
          <w:kern w:val="0"/>
          <w:sz w:val="22"/>
          <w:szCs w:val="22"/>
          <w:highlight w:val="none"/>
          <w:lang w:val="en-US" w:eastAsia="zh-CN"/>
        </w:rPr>
        <w:t>并采用“</w:t>
      </w:r>
      <w:r>
        <w:rPr>
          <w:rFonts w:hint="eastAsia" w:ascii="宋体" w:hAnsi="宋体" w:eastAsia="宋体" w:cs="宋体"/>
          <w:color w:val="auto"/>
          <w:kern w:val="0"/>
          <w:sz w:val="22"/>
          <w:szCs w:val="22"/>
          <w:highlight w:val="none"/>
        </w:rPr>
        <w:t>多规合一”国土空间规划体系</w:t>
      </w:r>
      <w:r>
        <w:rPr>
          <w:rFonts w:hint="eastAsia" w:ascii="宋体" w:hAnsi="宋体" w:cs="宋体"/>
          <w:color w:val="auto"/>
          <w:kern w:val="0"/>
          <w:sz w:val="22"/>
          <w:szCs w:val="22"/>
          <w:highlight w:val="none"/>
          <w:lang w:val="en-US" w:eastAsia="zh-CN"/>
        </w:rPr>
        <w:t>进行编制，</w:t>
      </w:r>
      <w:r>
        <w:rPr>
          <w:rFonts w:hint="eastAsia" w:ascii="宋体" w:hAnsi="宋体" w:eastAsia="宋体" w:cs="宋体"/>
          <w:color w:val="auto"/>
          <w:kern w:val="0"/>
          <w:sz w:val="22"/>
          <w:szCs w:val="22"/>
          <w:highlight w:val="none"/>
        </w:rPr>
        <w:t>设计图纸，其中用地规划图及总平面图应同时提供AutoCAD的.dwg格式</w:t>
      </w:r>
      <w:r>
        <w:rPr>
          <w:rFonts w:hint="eastAsia" w:ascii="宋体" w:hAnsi="宋体" w:cs="宋体"/>
          <w:color w:val="auto"/>
          <w:kern w:val="0"/>
          <w:sz w:val="22"/>
          <w:szCs w:val="22"/>
          <w:highlight w:val="none"/>
          <w:lang w:val="en-US" w:eastAsia="zh-CN"/>
        </w:rPr>
        <w:t>及ArcGIS数据格式</w:t>
      </w:r>
      <w:r>
        <w:rPr>
          <w:rFonts w:hint="eastAsia" w:ascii="宋体" w:hAnsi="宋体" w:eastAsia="宋体" w:cs="宋体"/>
          <w:color w:val="auto"/>
          <w:kern w:val="0"/>
          <w:sz w:val="22"/>
          <w:szCs w:val="22"/>
          <w:highlight w:val="none"/>
        </w:rPr>
        <w:t>和彩图的.jpg格式，其余图纸为.jpg格式。dwg格式的图纸，图形必须保持原有坐标系，不得缩放或旋转。</w:t>
      </w:r>
    </w:p>
    <w:p w14:paraId="25376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、其他要求</w:t>
      </w:r>
      <w:r>
        <w:rPr>
          <w:rFonts w:hint="eastAsia" w:ascii="宋体" w:hAnsi="宋体" w:eastAsia="宋体" w:cs="宋体"/>
          <w:b/>
          <w:bCs/>
          <w:color w:val="auto"/>
          <w:sz w:val="22"/>
          <w:szCs w:val="22"/>
          <w:highlight w:val="none"/>
          <w:lang w:eastAsia="zh-CN"/>
        </w:rPr>
        <w:t>：</w:t>
      </w:r>
    </w:p>
    <w:p w14:paraId="2B018C3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（1）服务期：</w:t>
      </w:r>
      <w:r>
        <w:rPr>
          <w:rFonts w:hint="eastAsia" w:ascii="宋体" w:hAnsi="宋体" w:cs="宋体"/>
          <w:b/>
          <w:bCs/>
          <w:color w:val="auto"/>
          <w:sz w:val="22"/>
          <w:szCs w:val="22"/>
          <w:highlight w:val="none"/>
          <w:lang w:val="en-US" w:eastAsia="zh-CN"/>
        </w:rPr>
        <w:t>120日历天内</w:t>
      </w:r>
      <w:r>
        <w:rPr>
          <w:rFonts w:hint="eastAsia" w:ascii="宋体" w:hAnsi="宋体" w:eastAsia="宋体" w:cs="宋体"/>
          <w:b/>
          <w:bCs/>
          <w:color w:val="auto"/>
          <w:sz w:val="22"/>
          <w:szCs w:val="22"/>
          <w:highlight w:val="none"/>
          <w:lang w:val="en-US" w:eastAsia="zh-CN"/>
        </w:rPr>
        <w:t>所有约定内容成果</w:t>
      </w:r>
      <w:r>
        <w:rPr>
          <w:rFonts w:hint="eastAsia" w:ascii="宋体" w:hAnsi="宋体" w:cs="宋体"/>
          <w:b/>
          <w:bCs/>
          <w:color w:val="auto"/>
          <w:sz w:val="22"/>
          <w:szCs w:val="22"/>
          <w:highlight w:val="none"/>
          <w:lang w:val="en-US" w:eastAsia="zh-CN"/>
        </w:rPr>
        <w:t>，待所有成果获得批复后次日起，提供5年的后续服务</w:t>
      </w:r>
      <w:r>
        <w:rPr>
          <w:rFonts w:hint="eastAsia" w:ascii="宋体" w:hAnsi="宋体" w:eastAsia="宋体" w:cs="宋体"/>
          <w:b/>
          <w:bCs/>
          <w:color w:val="auto"/>
          <w:sz w:val="22"/>
          <w:szCs w:val="22"/>
          <w:highlight w:val="none"/>
          <w:lang w:val="en-US" w:eastAsia="zh-CN"/>
        </w:rPr>
        <w:t>。</w:t>
      </w:r>
    </w:p>
    <w:p w14:paraId="78BA91A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lang w:val="en-US" w:eastAsia="zh-CN"/>
        </w:rPr>
        <w:t>供应商针对本项目</w:t>
      </w:r>
      <w:r>
        <w:rPr>
          <w:rFonts w:hint="eastAsia" w:ascii="宋体" w:hAnsi="宋体" w:cs="宋体"/>
          <w:b/>
          <w:bCs/>
          <w:color w:val="auto"/>
          <w:sz w:val="22"/>
          <w:szCs w:val="22"/>
          <w:highlight w:val="none"/>
          <w:u w:val="single"/>
          <w:lang w:val="en-US" w:eastAsia="zh-CN"/>
        </w:rPr>
        <w:t>拟派</w:t>
      </w:r>
      <w:r>
        <w:rPr>
          <w:rFonts w:hint="eastAsia" w:ascii="宋体" w:hAnsi="宋体" w:eastAsia="宋体" w:cs="宋体"/>
          <w:b/>
          <w:bCs/>
          <w:color w:val="auto"/>
          <w:sz w:val="22"/>
          <w:szCs w:val="22"/>
          <w:highlight w:val="none"/>
          <w:u w:val="single"/>
          <w:lang w:val="en-US" w:eastAsia="zh-CN"/>
        </w:rPr>
        <w:t>项目负责人至少1人，项目组成员根据项目实际需求进行配备。</w:t>
      </w:r>
    </w:p>
    <w:p w14:paraId="4DE4A96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）如有因成果编制不明，需要中标供应商现场说明或出具资料补充的，中标供应商必须予以配合，否则采购人有权按合同约定对中标供应商进行处罚。</w:t>
      </w:r>
    </w:p>
    <w:p w14:paraId="1AA13CB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）中标供应商负责必须对项目成果错误进行及时更正，不得以任何形式的原因及理由要求增加费用。</w:t>
      </w:r>
    </w:p>
    <w:p w14:paraId="700632B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）本次设计所有成果，归采购人所有。未经采购人许可，中标供应商不得向第三方提供或泄露，否则将承担相应的法律责任。</w:t>
      </w:r>
    </w:p>
    <w:p w14:paraId="4483ACA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）中标供应商必须对收集的基础资料及所有成果承担安全、保密责任。</w:t>
      </w:r>
    </w:p>
    <w:p w14:paraId="59FAC44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）中标供应商应保证提供服务过程中不会侵犯任何第三方的知识产权。</w:t>
      </w:r>
    </w:p>
    <w:p w14:paraId="420C80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、项目服务、设计费</w:t>
      </w:r>
    </w:p>
    <w:p w14:paraId="0E30D90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服务、设计费应为承包完成本项目所规定内容的</w:t>
      </w:r>
      <w:r>
        <w:rPr>
          <w:rFonts w:hint="eastAsia" w:ascii="宋体" w:hAnsi="宋体" w:cs="宋体"/>
          <w:bCs/>
          <w:color w:val="auto"/>
          <w:sz w:val="22"/>
          <w:szCs w:val="22"/>
          <w:highlight w:val="none"/>
        </w:rPr>
        <w:t>全部费用，包含市场调研、内业数据整理、外业调查、资料费、交通费、专家方案评审费、成果印制费、售后服务费、差旅费、利润、税费等配合</w:t>
      </w:r>
      <w:r>
        <w:rPr>
          <w:rFonts w:hint="eastAsia" w:ascii="宋体" w:hAnsi="宋体" w:cs="宋体"/>
          <w:bCs/>
          <w:color w:val="auto"/>
          <w:sz w:val="22"/>
          <w:szCs w:val="22"/>
          <w:highlight w:val="none"/>
          <w:lang w:val="en-US" w:eastAsia="zh-CN"/>
        </w:rPr>
        <w:t>采购人</w:t>
      </w:r>
      <w:r>
        <w:rPr>
          <w:rFonts w:hint="eastAsia" w:ascii="宋体" w:hAnsi="宋体" w:cs="宋体"/>
          <w:bCs/>
          <w:color w:val="auto"/>
          <w:sz w:val="22"/>
          <w:szCs w:val="22"/>
          <w:highlight w:val="none"/>
        </w:rPr>
        <w:t>通过有关政府部门审批的相关服务等全部项目的费用及工作所发生的一切应有费用</w:t>
      </w:r>
      <w:r>
        <w:rPr>
          <w:rFonts w:hint="eastAsia" w:ascii="宋体" w:hAnsi="宋体" w:eastAsia="宋体" w:cs="宋体"/>
          <w:color w:val="auto"/>
          <w:sz w:val="22"/>
          <w:szCs w:val="22"/>
          <w:highlight w:val="none"/>
        </w:rPr>
        <w:t>，并承担一切风险责任。</w:t>
      </w:r>
    </w:p>
    <w:p w14:paraId="602C9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、付款方式</w:t>
      </w:r>
    </w:p>
    <w:p w14:paraId="5D8698AA">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中标供应商须在合同签订后7日内向采购人提交合同金额1%作为履约保证金；</w:t>
      </w:r>
    </w:p>
    <w:p w14:paraId="36F711F0">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在签订合同后15日内采购人向中标供应商支付至合同价的10%为预付款</w:t>
      </w:r>
      <w:r>
        <w:rPr>
          <w:rFonts w:hint="eastAsia" w:ascii="宋体" w:hAnsi="宋体" w:cs="宋体"/>
          <w:color w:val="auto"/>
          <w:sz w:val="22"/>
          <w:szCs w:val="22"/>
          <w:highlight w:val="none"/>
          <w:lang w:val="en-US" w:eastAsia="zh-CN"/>
        </w:rPr>
        <w:t>；</w:t>
      </w:r>
    </w:p>
    <w:p w14:paraId="596C96E6">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中标供应商提交规划成果通过专家评审后10日内支付至合同价的60%；</w:t>
      </w:r>
    </w:p>
    <w:p w14:paraId="1A4541FA">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4、中标供应商完成最终成果稿并合格后7日内支付至合同价的80%</w:t>
      </w:r>
    </w:p>
    <w:p w14:paraId="77C2E540">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剩余20</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合同金额在5年后续服务中逐年等额支付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时间以成果批复后次日起计算</w:t>
      </w:r>
      <w:r>
        <w:rPr>
          <w:rFonts w:hint="eastAsia" w:ascii="宋体" w:hAnsi="宋体" w:eastAsia="宋体" w:cs="宋体"/>
          <w:color w:val="auto"/>
          <w:highlight w:val="none"/>
          <w:lang w:eastAsia="zh-CN"/>
        </w:rPr>
        <w:t>）</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最后一笔支付完成后</w:t>
      </w:r>
      <w:r>
        <w:rPr>
          <w:rFonts w:hint="eastAsia" w:ascii="宋体" w:hAnsi="宋体" w:eastAsia="宋体" w:cs="宋体"/>
          <w:color w:val="auto"/>
          <w:sz w:val="22"/>
          <w:szCs w:val="22"/>
          <w:highlight w:val="none"/>
          <w:lang w:val="en-US" w:eastAsia="zh-CN"/>
        </w:rPr>
        <w:t>并一次性无息退还中标供应商的履约保证金。</w:t>
      </w:r>
    </w:p>
    <w:p w14:paraId="3835D14C">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3AFE0C43">
      <w:pPr>
        <w:spacing w:line="360" w:lineRule="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履约保证金：</w:t>
      </w:r>
    </w:p>
    <w:p w14:paraId="4713901A">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的形式、金额及期限的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在合同签署后（具体时间由采购人通知），成交供应商应以签约合同总价的1%作为</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，以银行转账、转帐支票、银行汇票或银行、保险公司出具的保函等非现金形式交纳。</w:t>
      </w:r>
    </w:p>
    <w:p w14:paraId="4D3962C4">
      <w:pPr>
        <w:spacing w:line="360" w:lineRule="auto"/>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1）若采用保函形式的，应满足以下几个条件</w:t>
      </w:r>
      <w:r>
        <w:rPr>
          <w:rFonts w:hint="eastAsia" w:ascii="宋体" w:hAnsi="宋体" w:eastAsia="宋体" w:cs="宋体"/>
          <w:color w:val="auto"/>
          <w:sz w:val="22"/>
          <w:szCs w:val="22"/>
          <w:highlight w:val="none"/>
          <w:lang w:eastAsia="zh-CN"/>
        </w:rPr>
        <w:t>：</w:t>
      </w:r>
    </w:p>
    <w:p w14:paraId="0761AB27">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①为见索即付保函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即在成交供应商没有实施合同或者未履行合同义务时，采购人不需要出具任何证明和理由，只要看到成交供应商违约，就可对保函进行收兑。</w:t>
      </w:r>
    </w:p>
    <w:p w14:paraId="2D527F9A">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②保函期限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保函的期限自合同生效之日起至采购人签收最后一批设计成果之日为止。</w:t>
      </w:r>
    </w:p>
    <w:p w14:paraId="05149C28">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③如果由于</w:t>
      </w:r>
      <w:r>
        <w:rPr>
          <w:rFonts w:hint="eastAsia" w:ascii="宋体" w:hAnsi="宋体" w:cs="宋体"/>
          <w:color w:val="auto"/>
          <w:sz w:val="22"/>
          <w:szCs w:val="22"/>
          <w:highlight w:val="none"/>
          <w:lang w:val="en-US" w:eastAsia="zh-CN"/>
        </w:rPr>
        <w:t>服务期</w:t>
      </w:r>
      <w:r>
        <w:rPr>
          <w:rFonts w:hint="eastAsia" w:ascii="宋体" w:hAnsi="宋体" w:eastAsia="宋体" w:cs="宋体"/>
          <w:color w:val="auto"/>
          <w:sz w:val="22"/>
          <w:szCs w:val="22"/>
          <w:highlight w:val="none"/>
        </w:rPr>
        <w:t>延误或保函出具机构要求分期出具保函的，则在前一份保函有效期满之日20日前必须重新出具相同内容的保函。</w:t>
      </w:r>
    </w:p>
    <w:p w14:paraId="2C60B077">
      <w:pPr>
        <w:spacing w:line="360" w:lineRule="auto"/>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2）以银行转账、转帐支票、银行汇票等形式提交的</w:t>
      </w:r>
      <w:r>
        <w:rPr>
          <w:rFonts w:hint="eastAsia" w:ascii="宋体" w:hAnsi="宋体" w:eastAsia="宋体" w:cs="宋体"/>
          <w:color w:val="auto"/>
          <w:sz w:val="22"/>
          <w:szCs w:val="22"/>
          <w:highlight w:val="none"/>
          <w:lang w:eastAsia="zh-CN"/>
        </w:rPr>
        <w:t>：</w:t>
      </w:r>
    </w:p>
    <w:p w14:paraId="57ADD8F4">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①从成交供应商基本账户转出；</w:t>
      </w:r>
    </w:p>
    <w:p w14:paraId="7D670E3B">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退还时间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待采购人签收最后一批设计成果之日起10日内予以全部退还（无息）。</w:t>
      </w:r>
    </w:p>
    <w:p w14:paraId="5CD42B8D">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、售后服务</w:t>
      </w:r>
      <w:r>
        <w:rPr>
          <w:rFonts w:hint="eastAsia" w:ascii="宋体" w:hAnsi="宋体" w:eastAsia="宋体" w:cs="宋体"/>
          <w:b/>
          <w:bCs/>
          <w:color w:val="auto"/>
          <w:sz w:val="22"/>
          <w:szCs w:val="22"/>
          <w:highlight w:val="none"/>
          <w:lang w:eastAsia="zh-CN"/>
        </w:rPr>
        <w:t>：</w:t>
      </w:r>
    </w:p>
    <w:p w14:paraId="1894CD8B">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1.成交供应商负责免费对项目成果错误进行及时更正、并对按规定进行调整或补充。</w:t>
      </w:r>
    </w:p>
    <w:p w14:paraId="5F22717F">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w:t>
      </w:r>
      <w:r>
        <w:rPr>
          <w:rFonts w:hint="eastAsia" w:ascii="宋体" w:hAnsi="宋体" w:cs="宋体"/>
          <w:color w:val="auto"/>
          <w:sz w:val="22"/>
          <w:szCs w:val="22"/>
          <w:highlight w:val="none"/>
          <w:lang w:val="en-US" w:eastAsia="zh-CN"/>
        </w:rPr>
        <w:t>进度款</w:t>
      </w:r>
      <w:r>
        <w:rPr>
          <w:rFonts w:hint="eastAsia" w:ascii="宋体" w:hAnsi="宋体" w:eastAsia="宋体" w:cs="宋体"/>
          <w:color w:val="auto"/>
          <w:sz w:val="22"/>
          <w:szCs w:val="22"/>
          <w:highlight w:val="none"/>
        </w:rPr>
        <w:t>中扣除；超过5次，发包人可解除合同。</w:t>
      </w:r>
    </w:p>
    <w:p w14:paraId="0D705674">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3.合同签署后，成交供应商无特殊情况未经采购人同意不得变更</w:t>
      </w:r>
      <w:r>
        <w:rPr>
          <w:rFonts w:hint="eastAsia" w:ascii="宋体" w:hAnsi="宋体" w:cs="宋体"/>
          <w:color w:val="auto"/>
          <w:sz w:val="22"/>
          <w:szCs w:val="22"/>
          <w:highlight w:val="none"/>
          <w:lang w:val="en-US" w:eastAsia="zh-CN"/>
        </w:rPr>
        <w:t>编制</w:t>
      </w:r>
      <w:r>
        <w:rPr>
          <w:rFonts w:hint="eastAsia" w:ascii="宋体" w:hAnsi="宋体" w:eastAsia="宋体" w:cs="宋体"/>
          <w:color w:val="auto"/>
          <w:sz w:val="22"/>
          <w:szCs w:val="22"/>
          <w:highlight w:val="none"/>
        </w:rPr>
        <w:t>资料及</w:t>
      </w:r>
      <w:r>
        <w:rPr>
          <w:rFonts w:hint="eastAsia" w:ascii="宋体" w:hAnsi="宋体" w:cs="宋体"/>
          <w:color w:val="auto"/>
          <w:sz w:val="22"/>
          <w:szCs w:val="22"/>
          <w:highlight w:val="none"/>
          <w:lang w:val="en-US" w:eastAsia="zh-CN"/>
        </w:rPr>
        <w:t>编制</w:t>
      </w:r>
      <w:r>
        <w:rPr>
          <w:rFonts w:hint="eastAsia" w:ascii="宋体" w:hAnsi="宋体" w:eastAsia="宋体" w:cs="宋体"/>
          <w:color w:val="auto"/>
          <w:sz w:val="22"/>
          <w:szCs w:val="22"/>
          <w:highlight w:val="none"/>
        </w:rPr>
        <w:t>文件交付的时间，应按日向发包人支付违约金1000元；超过10日，发包人可解除合同等。</w:t>
      </w:r>
    </w:p>
    <w:p w14:paraId="091F6B97">
      <w:pPr>
        <w:spacing w:line="360" w:lineRule="auto"/>
        <w:ind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4.成果在通过最终评审前，须按采购人要求修改（不限次数），确保通过最终评审。本项目所有评审过程涉及的评审费用、专家费由成交供应商负责。</w:t>
      </w:r>
    </w:p>
    <w:p w14:paraId="1D61E273">
      <w:pPr>
        <w:spacing w:line="360" w:lineRule="auto"/>
        <w:ind w:firstLine="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7FCA400">
      <w:pPr>
        <w:pStyle w:val="24"/>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4"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4"/>
    </w:p>
    <w:p w14:paraId="20AFD1D6">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5" w:name="_Toc19221"/>
      <w:r>
        <w:rPr>
          <w:rFonts w:hint="eastAsia" w:ascii="宋体" w:hAnsi="宋体" w:eastAsia="宋体" w:cs="宋体"/>
          <w:color w:val="auto"/>
          <w:sz w:val="22"/>
          <w:szCs w:val="22"/>
          <w:highlight w:val="none"/>
        </w:rPr>
        <w:t>一、说明</w:t>
      </w:r>
      <w:bookmarkEnd w:id="15"/>
    </w:p>
    <w:p w14:paraId="155109C7">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6E869FF0">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569B8D7B">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654E9BD">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2F273CA8">
      <w:pPr>
        <w:pStyle w:val="4"/>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0E9F4659">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43310E3E">
      <w:pPr>
        <w:pStyle w:val="4"/>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2300000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294496DB">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59F56BFD">
      <w:pPr>
        <w:pStyle w:val="61"/>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22A5981A">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A17DE35">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40B020E7">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50CD4E5A">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5E0D730E">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4BBCB40">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16020CDD">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5C6B4FEC">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74110B3B">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7096631">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3D92AEDE">
      <w:pPr>
        <w:shd w:val="clear" w:color="auto" w:fill="auto"/>
        <w:wordWrap w:val="0"/>
        <w:autoSpaceDE w:val="0"/>
        <w:autoSpaceDN w:val="0"/>
        <w:adjustRightInd w:val="0"/>
        <w:snapToGrid w:val="0"/>
        <w:spacing w:line="360" w:lineRule="auto"/>
        <w:ind w:firstLine="433" w:firstLineChars="196"/>
        <w:textAlignment w:val="bottom"/>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15、</w:t>
      </w:r>
      <w:r>
        <w:rPr>
          <w:rFonts w:hint="eastAsia" w:ascii="宋体" w:hAnsi="宋体" w:eastAsia="宋体" w:cs="宋体"/>
          <w:b/>
          <w:color w:val="auto"/>
          <w:sz w:val="22"/>
          <w:szCs w:val="22"/>
          <w:highlight w:val="none"/>
          <w:u w:val="single"/>
        </w:rPr>
        <w:t>供应商</w:t>
      </w:r>
      <w:r>
        <w:rPr>
          <w:rFonts w:hint="eastAsia" w:ascii="宋体" w:hAnsi="宋体" w:cs="宋体"/>
          <w:b/>
          <w:color w:val="auto"/>
          <w:sz w:val="22"/>
          <w:szCs w:val="22"/>
          <w:highlight w:val="none"/>
          <w:u w:val="single"/>
          <w:lang w:val="en-US" w:eastAsia="zh-CN"/>
        </w:rPr>
        <w:t>在制作投标文件前务必仔细阅读投标通知（邀请）书、“第三部分 供应商须知”中的评标程序、被拒绝投标、无效投标、废标等条款及采购文件有关表格样张。</w:t>
      </w:r>
    </w:p>
    <w:p w14:paraId="7E27AA15">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6" w:name="_Toc22107"/>
      <w:r>
        <w:rPr>
          <w:rFonts w:hint="eastAsia" w:ascii="宋体" w:hAnsi="宋体" w:eastAsia="宋体" w:cs="宋体"/>
          <w:color w:val="auto"/>
          <w:sz w:val="22"/>
          <w:szCs w:val="22"/>
          <w:highlight w:val="none"/>
        </w:rPr>
        <w:t>二、供应商资格要求</w:t>
      </w:r>
      <w:bookmarkEnd w:id="16"/>
    </w:p>
    <w:p w14:paraId="5BBFCB22">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2B38ED0A">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7" w:name="_Toc10391"/>
      <w:r>
        <w:rPr>
          <w:rFonts w:hint="eastAsia" w:ascii="宋体" w:hAnsi="宋体" w:eastAsia="宋体" w:cs="宋体"/>
          <w:color w:val="auto"/>
          <w:sz w:val="22"/>
          <w:szCs w:val="22"/>
          <w:highlight w:val="none"/>
        </w:rPr>
        <w:t>三、采购文件</w:t>
      </w:r>
      <w:bookmarkEnd w:id="17"/>
    </w:p>
    <w:p w14:paraId="3118F42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5C356BA9">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642B810">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67A6118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609909D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0D97E50A">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159CCBF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B2FF04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w:t>
      </w:r>
      <w:r>
        <w:rPr>
          <w:rFonts w:hint="eastAsia" w:ascii="宋体" w:hAnsi="宋体" w:cs="宋体"/>
          <w:color w:val="auto"/>
          <w:sz w:val="22"/>
          <w:szCs w:val="22"/>
          <w:highlight w:val="none"/>
          <w:lang w:val="en-US" w:eastAsia="zh-CN"/>
        </w:rPr>
        <w:t>质疑</w:t>
      </w:r>
    </w:p>
    <w:p w14:paraId="3B945809">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供应商如发现</w:t>
      </w:r>
      <w:r>
        <w:rPr>
          <w:rFonts w:hint="eastAsia" w:ascii="宋体" w:hAnsi="宋体" w:cs="宋体"/>
          <w:color w:val="auto"/>
          <w:sz w:val="22"/>
          <w:szCs w:val="22"/>
          <w:highlight w:val="none"/>
          <w:lang w:val="en-US" w:eastAsia="zh-CN"/>
        </w:rPr>
        <w:t>采购文件</w:t>
      </w:r>
      <w:r>
        <w:rPr>
          <w:rFonts w:hint="eastAsia" w:ascii="宋体" w:hAnsi="宋体" w:eastAsia="宋体" w:cs="宋体"/>
          <w:color w:val="auto"/>
          <w:sz w:val="22"/>
          <w:szCs w:val="22"/>
          <w:highlight w:val="none"/>
        </w:rPr>
        <w:t>存在含糊不清、相互矛盾、多种含义条款或是歧视性、排他性等不公正条款或其它违法违规内容时，可用书面形式（包括信函、传真，下同）通知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w:t>
      </w:r>
    </w:p>
    <w:p w14:paraId="4F0160C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Arial"/>
          <w:color w:val="auto"/>
          <w:kern w:val="0"/>
          <w:sz w:val="22"/>
          <w:szCs w:val="22"/>
          <w:highlight w:val="none"/>
          <w:lang w:val="en-US" w:eastAsia="zh-CN"/>
        </w:rPr>
      </w:pPr>
      <w:r>
        <w:rPr>
          <w:rFonts w:hint="eastAsia" w:ascii="宋体" w:hAnsi="宋体" w:eastAsia="宋体" w:cs="Arial"/>
          <w:color w:val="auto"/>
          <w:kern w:val="0"/>
          <w:sz w:val="22"/>
          <w:szCs w:val="22"/>
          <w:highlight w:val="none"/>
          <w:lang w:val="en-US" w:eastAsia="zh-CN"/>
        </w:rPr>
        <w:t>质疑期：公告发布之日起7个工作日内。</w:t>
      </w:r>
    </w:p>
    <w:p w14:paraId="77E3D04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Arial"/>
          <w:color w:val="auto"/>
          <w:kern w:val="0"/>
          <w:sz w:val="22"/>
          <w:szCs w:val="22"/>
          <w:highlight w:val="none"/>
          <w:lang w:val="en-US" w:eastAsia="zh-CN"/>
        </w:rPr>
        <w:t>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42AC4DA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5DAAD2D2">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029D5B98">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5381630">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8" w:name="_Toc12846"/>
      <w:r>
        <w:rPr>
          <w:rFonts w:hint="eastAsia" w:ascii="宋体" w:hAnsi="宋体" w:eastAsia="宋体" w:cs="宋体"/>
          <w:color w:val="auto"/>
          <w:sz w:val="22"/>
          <w:szCs w:val="22"/>
          <w:highlight w:val="none"/>
        </w:rPr>
        <w:t>四、投标文件</w:t>
      </w:r>
      <w:bookmarkEnd w:id="18"/>
    </w:p>
    <w:p w14:paraId="77566378">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71557BCA">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28A01CD2">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D9A49A9">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024FC0B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12FBCA3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1B0C6FEB">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7"/>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7EE9B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238690A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21B0D8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3F88A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6794B81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71A7F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721B5657">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F80F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1824A10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3E76E8E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44A7226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0CF1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4DDA2C7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037E8A4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7EF4300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3685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5CC42B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73DBCE93">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2CA6F55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2C04998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0185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A9CBC1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2891CAE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6D4E5AD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7A6C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ABB276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410A27B8">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108FA2CF">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无</w:t>
            </w:r>
          </w:p>
        </w:tc>
      </w:tr>
      <w:tr w14:paraId="4E143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592B3F3">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center"/>
          </w:tcPr>
          <w:p w14:paraId="6BA375C3">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联合体协议书（如有）</w:t>
            </w:r>
          </w:p>
        </w:tc>
        <w:tc>
          <w:tcPr>
            <w:tcW w:w="987" w:type="dxa"/>
            <w:shd w:val="clear" w:color="auto" w:fill="auto"/>
            <w:noWrap w:val="0"/>
            <w:vAlign w:val="center"/>
          </w:tcPr>
          <w:p w14:paraId="25BD461A">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有</w:t>
            </w:r>
          </w:p>
        </w:tc>
      </w:tr>
      <w:tr w14:paraId="7C1C8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0983D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7</w:t>
            </w:r>
          </w:p>
        </w:tc>
        <w:tc>
          <w:tcPr>
            <w:tcW w:w="7970" w:type="dxa"/>
            <w:gridSpan w:val="2"/>
            <w:shd w:val="clear" w:color="auto" w:fill="auto"/>
            <w:noWrap w:val="0"/>
            <w:vAlign w:val="top"/>
          </w:tcPr>
          <w:p w14:paraId="2D0A22A2">
            <w:pPr>
              <w:keepNext w:val="0"/>
              <w:keepLines w:val="0"/>
              <w:suppressLineNumbers w:val="0"/>
              <w:shd w:val="clear" w:color="auto" w:fill="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5FF8043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448D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24E855D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p w14:paraId="100067F3">
            <w:pPr>
              <w:keepNext w:val="0"/>
              <w:keepLines w:val="0"/>
              <w:suppressLineNumbers w:val="0"/>
              <w:shd w:val="clear" w:color="auto" w:fill="auto"/>
              <w:wordWrap w:val="0"/>
              <w:spacing w:before="0" w:beforeAutospacing="0" w:after="0" w:afterAutospacing="0" w:line="360" w:lineRule="auto"/>
              <w:ind w:left="0" w:right="0" w:firstLine="442"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u w:val="single"/>
                <w:lang w:val="en-US" w:eastAsia="zh-CN"/>
              </w:rPr>
              <w:t>2、联合体投标的，各成员第2、3、4、5项材料均需提供。</w:t>
            </w:r>
          </w:p>
        </w:tc>
      </w:tr>
      <w:tr w14:paraId="07397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45DB89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11B6A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F0F7CD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3283EF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04C7466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5E4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FB0C05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371101D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CED6DF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7AF2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0903FC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40D9E1C">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54D70C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3BC8A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0C4C33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4D0CA2B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4E65559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BCA2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4C5D26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F385F53">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1B0A582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2097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F764B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03AF515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2E09CD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1CE6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650D163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B9D87FC">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7579608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89E3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8AE8C3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60391B0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30325C5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9596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D7C52F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009079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65F73DB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CB37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0D1D272">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4D267CD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461BBBA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2809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BDE77EE">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39367698">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6C0934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2B8C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2513DA5">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AE3431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D4016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49A4D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314268C">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6D86CEE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1ED3850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A27F9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43AB7A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56223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EF0D24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1F134D9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41509C6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8042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219B3B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5D018BE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210E0AD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E1DD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580EB8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5851329B">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57BEBA4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0BE1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E0A8E8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2ED8F5C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37E55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19C9659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7900F57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7952E20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3571D0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8FB52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0D62DB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6CD9505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001949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1BF9E5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D238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EC8EF1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3659CA3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52BC4143">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6A9DEF1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1270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51B48C3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6FEBC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5FC4519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69E7E9A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7FAF54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7533048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4653C6F1">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4326422">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476E4700">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61635D28">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1391DD0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167D8922">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153828A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9" w:name="_Toc132122115"/>
      <w:bookmarkStart w:id="20" w:name="_Toc132122412"/>
      <w:r>
        <w:rPr>
          <w:rFonts w:hint="eastAsia" w:ascii="宋体" w:hAnsi="宋体" w:eastAsia="宋体" w:cs="宋体"/>
          <w:color w:val="auto"/>
          <w:sz w:val="22"/>
          <w:szCs w:val="22"/>
          <w:highlight w:val="none"/>
        </w:rPr>
        <w:t>4.投标报价</w:t>
      </w:r>
      <w:bookmarkEnd w:id="19"/>
      <w:bookmarkEnd w:id="20"/>
    </w:p>
    <w:p w14:paraId="53614321">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17D44F7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E260924">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6C0352D1">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1" w:name="_Toc132122414"/>
      <w:bookmarkStart w:id="22" w:name="_Toc132122117"/>
      <w:bookmarkStart w:id="23" w:name="_Toc132122415"/>
      <w:bookmarkStart w:id="24" w:name="_Toc132122118"/>
      <w:r>
        <w:rPr>
          <w:rFonts w:hint="eastAsia" w:ascii="宋体" w:hAnsi="宋体" w:eastAsia="宋体" w:cs="宋体"/>
          <w:color w:val="auto"/>
          <w:sz w:val="22"/>
          <w:szCs w:val="22"/>
          <w:highlight w:val="none"/>
        </w:rPr>
        <w:t>5、投标文件的有效期</w:t>
      </w:r>
      <w:bookmarkEnd w:id="21"/>
      <w:bookmarkEnd w:id="22"/>
    </w:p>
    <w:p w14:paraId="1E342F5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28CDCBD8">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58F2BA08">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3"/>
    <w:bookmarkEnd w:id="24"/>
    <w:p w14:paraId="293A1036">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15D2B929">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7B06D75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8B8D41E">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990A71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43AC0E0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7510180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5AD47FC3">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3FF602D3">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61781B6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00680F7">
      <w:pPr>
        <w:shd w:val="clear" w:color="auto" w:fill="auto"/>
        <w:wordWrap w:val="0"/>
        <w:snapToGrid w:val="0"/>
        <w:spacing w:line="360" w:lineRule="auto"/>
        <w:outlineLvl w:val="1"/>
        <w:rPr>
          <w:rFonts w:hint="eastAsia" w:ascii="宋体" w:hAnsi="宋体" w:eastAsia="宋体" w:cs="宋体"/>
          <w:bCs/>
          <w:color w:val="auto"/>
          <w:sz w:val="22"/>
          <w:szCs w:val="22"/>
          <w:highlight w:val="none"/>
        </w:rPr>
      </w:pPr>
      <w:bookmarkStart w:id="25" w:name="_Toc16183"/>
      <w:r>
        <w:rPr>
          <w:rFonts w:hint="eastAsia" w:ascii="宋体" w:hAnsi="宋体" w:eastAsia="宋体" w:cs="宋体"/>
          <w:bCs/>
          <w:color w:val="auto"/>
          <w:sz w:val="22"/>
          <w:szCs w:val="22"/>
          <w:highlight w:val="none"/>
        </w:rPr>
        <w:t>五、投标</w:t>
      </w:r>
      <w:bookmarkEnd w:id="25"/>
    </w:p>
    <w:p w14:paraId="626A43BE">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06043C3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01885E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113A7E09">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B7FE32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644786CE">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0B8E2D35">
      <w:pPr>
        <w:pStyle w:val="12"/>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095BD820">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1565B40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D07BA19">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6" w:name="_Toc23198"/>
      <w:r>
        <w:rPr>
          <w:rFonts w:hint="eastAsia" w:ascii="宋体" w:hAnsi="宋体" w:eastAsia="宋体" w:cs="宋体"/>
          <w:color w:val="auto"/>
          <w:sz w:val="22"/>
          <w:szCs w:val="22"/>
          <w:highlight w:val="none"/>
        </w:rPr>
        <w:t>六、开标和评标</w:t>
      </w:r>
      <w:bookmarkEnd w:id="26"/>
    </w:p>
    <w:p w14:paraId="3E961EE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137122E8">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473393D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1207DC08">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2AC6350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7AD214A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AE31B8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366A913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A45FF2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3CC5617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1572BB3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01CE096">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3BFE2D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5A1C44A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0735B2F5">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539348B8">
      <w:pPr>
        <w:numPr>
          <w:ilvl w:val="0"/>
          <w:numId w:val="4"/>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D6C7EE3">
      <w:pPr>
        <w:numPr>
          <w:ilvl w:val="0"/>
          <w:numId w:val="4"/>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1CFF5A44">
      <w:pPr>
        <w:numPr>
          <w:ilvl w:val="0"/>
          <w:numId w:val="4"/>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2C790467">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79DDE023">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7" w:name="_Toc33194393"/>
      <w:bookmarkStart w:id="28" w:name="_Toc24550037"/>
      <w:r>
        <w:rPr>
          <w:rFonts w:hint="eastAsia" w:ascii="宋体" w:hAnsi="宋体" w:eastAsia="宋体" w:cs="宋体"/>
          <w:b/>
          <w:color w:val="auto"/>
          <w:sz w:val="22"/>
          <w:szCs w:val="22"/>
          <w:highlight w:val="none"/>
        </w:rPr>
        <w:t>4、投标供应商资格审查</w:t>
      </w:r>
      <w:bookmarkEnd w:id="27"/>
      <w:bookmarkEnd w:id="28"/>
    </w:p>
    <w:p w14:paraId="4E3EC8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E2EF69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0B41BBC6">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482B6706">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544593D1">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2FE420E6">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1EA9D9D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7804ED45">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27A36AB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65CD4C1E">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F053BAE">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3C42CF38">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2ACA4C7A">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81BDC0D">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35DE7C3">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56A3D339">
      <w:pPr>
        <w:pStyle w:val="12"/>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200F177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66D39526">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4CAA9367">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058D70FC">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75F987E7">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138FAAF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3CB5C5FE">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FE733A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52F5E589">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6C7D3526">
      <w:pPr>
        <w:pStyle w:val="12"/>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9841F6E">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22394E2B">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22B800B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534EA79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128588F2">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0A7DEF32">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7D8BF9D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19C246B6">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33788026">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06639DB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4024E05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74B7D2A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0EF65BF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4509E512">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7A030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F26193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37C3BDB3">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20FFD8C3">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265222D5">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ACF08B3">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1EDB00C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4169C1C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60018BC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06AB941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15845F2A">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55928E7A">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73B497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1A9B9BC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205D0FC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4D5BB02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778CCA02">
      <w:pPr>
        <w:shd w:val="clear" w:color="auto" w:fill="auto"/>
        <w:wordWrap w:val="0"/>
        <w:snapToGrid w:val="0"/>
        <w:spacing w:line="360" w:lineRule="auto"/>
        <w:ind w:firstLine="527"/>
        <w:outlineLvl w:val="1"/>
        <w:rPr>
          <w:rFonts w:hint="eastAsia" w:ascii="宋体" w:hAnsi="宋体" w:eastAsia="宋体" w:cs="宋体"/>
          <w:color w:val="auto"/>
          <w:sz w:val="22"/>
          <w:szCs w:val="22"/>
          <w:highlight w:val="none"/>
        </w:rPr>
      </w:pPr>
      <w:bookmarkStart w:id="29" w:name="_Toc16659"/>
      <w:r>
        <w:rPr>
          <w:rFonts w:hint="eastAsia" w:ascii="宋体" w:hAnsi="宋体" w:eastAsia="宋体" w:cs="宋体"/>
          <w:color w:val="auto"/>
          <w:sz w:val="22"/>
          <w:szCs w:val="22"/>
          <w:highlight w:val="none"/>
        </w:rPr>
        <w:t>七、授予合同</w:t>
      </w:r>
      <w:bookmarkEnd w:id="29"/>
    </w:p>
    <w:p w14:paraId="75366B35">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2D8DDB55">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1F7342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0EEBD2B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5180DC7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6C0EF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3BB0570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282F75E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4BEE896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09B93C2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738A6507">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621D88C">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F267249">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w:t>
      </w:r>
      <w:r>
        <w:rPr>
          <w:rFonts w:hint="eastAsia" w:hAnsi="宋体" w:cs="宋体"/>
          <w:color w:val="auto"/>
          <w:sz w:val="22"/>
          <w:szCs w:val="22"/>
          <w:highlight w:val="none"/>
          <w:lang w:val="en-US" w:eastAsia="zh-CN"/>
        </w:rPr>
        <w:t>18000元</w:t>
      </w:r>
      <w:r>
        <w:rPr>
          <w:rFonts w:hint="eastAsia" w:ascii="宋体" w:hAnsi="宋体" w:eastAsia="宋体" w:cs="宋体"/>
          <w:color w:val="auto"/>
          <w:sz w:val="22"/>
          <w:szCs w:val="22"/>
          <w:highlight w:val="none"/>
        </w:rPr>
        <w:t>，代理服务费包含在投标总价中，不需在报价中单列。</w:t>
      </w:r>
    </w:p>
    <w:p w14:paraId="02547BA4">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0" w:name="_Toc8999"/>
      <w:r>
        <w:rPr>
          <w:rFonts w:hint="eastAsia" w:ascii="宋体" w:hAnsi="宋体" w:eastAsia="宋体" w:cs="宋体"/>
          <w:b/>
          <w:color w:val="auto"/>
          <w:sz w:val="32"/>
          <w:szCs w:val="32"/>
          <w:highlight w:val="none"/>
        </w:rPr>
        <w:t>第四部分 采购政策功能相关说明</w:t>
      </w:r>
      <w:bookmarkEnd w:id="30"/>
    </w:p>
    <w:p w14:paraId="3CD338DE">
      <w:pPr>
        <w:shd w:val="clear" w:color="auto" w:fill="auto"/>
        <w:wordWrap w:val="0"/>
        <w:spacing w:line="360" w:lineRule="auto"/>
        <w:jc w:val="left"/>
        <w:rPr>
          <w:rFonts w:hint="eastAsia" w:ascii="宋体" w:hAnsi="宋体" w:eastAsia="宋体" w:cs="宋体"/>
          <w:color w:val="auto"/>
          <w:sz w:val="22"/>
          <w:szCs w:val="22"/>
          <w:highlight w:val="none"/>
        </w:rPr>
      </w:pPr>
    </w:p>
    <w:p w14:paraId="2CB85D89">
      <w:pPr>
        <w:shd w:val="clear" w:color="auto" w:fill="auto"/>
        <w:wordWrap w:val="0"/>
        <w:spacing w:line="360" w:lineRule="auto"/>
        <w:outlineLvl w:val="1"/>
        <w:rPr>
          <w:rFonts w:hint="eastAsia" w:ascii="宋体" w:hAnsi="宋体" w:eastAsia="宋体" w:cs="宋体"/>
          <w:color w:val="auto"/>
          <w:sz w:val="22"/>
          <w:szCs w:val="22"/>
          <w:highlight w:val="none"/>
        </w:rPr>
      </w:pPr>
      <w:bookmarkStart w:id="31" w:name="_Toc15934"/>
      <w:bookmarkStart w:id="32" w:name="_Toc31958"/>
      <w:bookmarkStart w:id="33" w:name="_Toc14337"/>
      <w:r>
        <w:rPr>
          <w:rFonts w:hint="eastAsia" w:ascii="宋体" w:hAnsi="宋体" w:eastAsia="宋体" w:cs="宋体"/>
          <w:color w:val="auto"/>
          <w:sz w:val="22"/>
          <w:szCs w:val="22"/>
          <w:highlight w:val="none"/>
        </w:rPr>
        <w:t>一、小、微企业（含监狱企业、残疾人福利性单位）扶持政策说明</w:t>
      </w:r>
      <w:bookmarkEnd w:id="31"/>
      <w:bookmarkEnd w:id="32"/>
      <w:bookmarkEnd w:id="33"/>
    </w:p>
    <w:p w14:paraId="7474218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778B8A4F">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26B5B42C">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29E2E87">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6B0C8CC3">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3EBCCE77">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0632AD5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06460FFD">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CE046E4">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4AEDD38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3285F975">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5A6AC151">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3EE0AC6A">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43B63D08">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57498FEB">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54A356D1">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410B8EF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46E4A151">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4CBB6FDC">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EF142A3">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020DCB4D">
      <w:pPr>
        <w:shd w:val="clear" w:color="auto" w:fill="auto"/>
        <w:wordWrap w:val="0"/>
        <w:spacing w:line="360" w:lineRule="auto"/>
        <w:jc w:val="left"/>
        <w:rPr>
          <w:rFonts w:hint="eastAsia" w:ascii="宋体" w:hAnsi="宋体" w:eastAsia="宋体" w:cs="宋体"/>
          <w:color w:val="auto"/>
          <w:sz w:val="22"/>
          <w:szCs w:val="22"/>
          <w:highlight w:val="none"/>
        </w:rPr>
      </w:pPr>
    </w:p>
    <w:p w14:paraId="309ED443">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4" w:name="OLE_LINK14"/>
      <w:bookmarkStart w:id="35" w:name="OLE_LINK13"/>
      <w:r>
        <w:rPr>
          <w:rFonts w:hint="eastAsia" w:ascii="宋体" w:hAnsi="宋体" w:eastAsia="宋体" w:cs="宋体"/>
          <w:b/>
          <w:bCs/>
          <w:color w:val="auto"/>
          <w:sz w:val="22"/>
          <w:szCs w:val="22"/>
          <w:highlight w:val="none"/>
        </w:rPr>
        <w:t>中小企业声明函（服务、工程）</w:t>
      </w:r>
    </w:p>
    <w:p w14:paraId="17B19C3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5A59282">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1BCDE5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4FC31E4">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675779A">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7A4C0E8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4946A52">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250E143">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55887BB">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23FCBB7F">
      <w:pPr>
        <w:pStyle w:val="25"/>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2C1538FB">
      <w:pP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br w:type="page"/>
      </w:r>
    </w:p>
    <w:p w14:paraId="5B1A15EE">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4"/>
    <w:bookmarkEnd w:id="35"/>
    <w:p w14:paraId="7632750F">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69A427">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538C430D">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7F0A39A6">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804E082">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012B4AD5">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7FF06E3A">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60076A0D">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6" w:name="_Toc12703"/>
      <w:bookmarkStart w:id="37" w:name="_Toc25588"/>
      <w:bookmarkStart w:id="38" w:name="_Toc32144"/>
      <w:r>
        <w:rPr>
          <w:rFonts w:hint="eastAsia" w:ascii="宋体" w:hAnsi="宋体" w:eastAsia="宋体" w:cs="宋体"/>
          <w:color w:val="auto"/>
          <w:sz w:val="22"/>
          <w:szCs w:val="22"/>
          <w:highlight w:val="none"/>
        </w:rPr>
        <w:t>二、节能、环保产品优先（强制）采购政策说明</w:t>
      </w:r>
      <w:bookmarkEnd w:id="36"/>
      <w:bookmarkEnd w:id="37"/>
      <w:bookmarkEnd w:id="38"/>
    </w:p>
    <w:p w14:paraId="5FA5A51B">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4FC5A60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71B34E3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763174F9">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05495E2E">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45743C16">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09AD49DD">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6D21EDF3">
      <w:pPr>
        <w:pStyle w:val="48"/>
        <w:shd w:val="clear" w:color="auto" w:fill="auto"/>
        <w:wordWrap w:val="0"/>
        <w:spacing w:line="360" w:lineRule="auto"/>
        <w:rPr>
          <w:rFonts w:hint="eastAsia" w:ascii="宋体" w:hAnsi="宋体" w:eastAsia="宋体" w:cs="宋体"/>
          <w:color w:val="auto"/>
          <w:sz w:val="36"/>
          <w:highlight w:val="none"/>
        </w:rPr>
      </w:pPr>
    </w:p>
    <w:p w14:paraId="0EFC64C2">
      <w:pPr>
        <w:pStyle w:val="9"/>
        <w:shd w:val="clear" w:color="auto" w:fill="auto"/>
        <w:wordWrap w:val="0"/>
        <w:spacing w:line="360" w:lineRule="auto"/>
        <w:rPr>
          <w:rFonts w:hint="eastAsia" w:ascii="宋体" w:hAnsi="宋体" w:eastAsia="宋体" w:cs="宋体"/>
          <w:color w:val="auto"/>
          <w:sz w:val="36"/>
          <w:highlight w:val="none"/>
        </w:rPr>
      </w:pPr>
    </w:p>
    <w:p w14:paraId="3F93AAE4">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3E09D3EB">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54112621">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71A3A0F0">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534EEBF3">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9" w:name="_Toc7442"/>
      <w:r>
        <w:rPr>
          <w:rFonts w:hint="eastAsia" w:ascii="宋体" w:hAnsi="宋体" w:eastAsia="宋体" w:cs="宋体"/>
          <w:color w:val="auto"/>
          <w:sz w:val="36"/>
          <w:highlight w:val="none"/>
        </w:rPr>
        <w:t>第五部分 合同格式（仅供参考）</w:t>
      </w:r>
      <w:bookmarkEnd w:id="39"/>
    </w:p>
    <w:p w14:paraId="432DCE3F">
      <w:pPr>
        <w:wordWrap w:val="0"/>
        <w:spacing w:line="480" w:lineRule="auto"/>
        <w:ind w:firstLine="2168" w:firstLineChars="300"/>
        <w:rPr>
          <w:rFonts w:hint="eastAsia" w:ascii="宋体" w:hAnsi="宋体" w:eastAsia="宋体" w:cs="宋体"/>
          <w:b/>
          <w:bCs/>
          <w:color w:val="auto"/>
          <w:sz w:val="72"/>
          <w:highlight w:val="none"/>
        </w:rPr>
      </w:pPr>
      <w:bookmarkStart w:id="40" w:name="_Toc1378"/>
    </w:p>
    <w:p w14:paraId="55BAEB27">
      <w:pPr>
        <w:wordWrap w:val="0"/>
        <w:spacing w:line="480" w:lineRule="auto"/>
        <w:ind w:firstLine="2168" w:firstLineChars="300"/>
        <w:rPr>
          <w:rFonts w:hint="eastAsia" w:ascii="宋体" w:hAnsi="宋体" w:eastAsia="宋体" w:cs="宋体"/>
          <w:b/>
          <w:bCs/>
          <w:color w:val="auto"/>
          <w:sz w:val="72"/>
          <w:highlight w:val="none"/>
        </w:rPr>
      </w:pPr>
      <w:r>
        <w:rPr>
          <w:rFonts w:hint="eastAsia" w:ascii="宋体" w:hAnsi="宋体" w:eastAsia="宋体" w:cs="宋体"/>
          <w:b/>
          <w:bCs/>
          <w:color w:val="auto"/>
          <w:sz w:val="72"/>
          <w:highlight w:val="none"/>
        </w:rPr>
        <w:t>规划设计合同</w:t>
      </w:r>
    </w:p>
    <w:p w14:paraId="75CDE7C0">
      <w:pPr>
        <w:wordWrap w:val="0"/>
        <w:spacing w:line="480" w:lineRule="auto"/>
        <w:rPr>
          <w:rFonts w:hint="eastAsia" w:ascii="宋体" w:hAnsi="宋体" w:eastAsia="宋体" w:cs="宋体"/>
          <w:color w:val="auto"/>
          <w:sz w:val="22"/>
          <w:highlight w:val="none"/>
        </w:rPr>
      </w:pPr>
    </w:p>
    <w:p w14:paraId="08DBDD1D">
      <w:pPr>
        <w:wordWrap w:val="0"/>
        <w:spacing w:line="480" w:lineRule="auto"/>
        <w:rPr>
          <w:rFonts w:hint="eastAsia" w:ascii="宋体" w:hAnsi="宋体" w:eastAsia="宋体" w:cs="宋体"/>
          <w:color w:val="auto"/>
          <w:sz w:val="22"/>
          <w:highlight w:val="none"/>
        </w:rPr>
      </w:pPr>
    </w:p>
    <w:p w14:paraId="07071A0E">
      <w:pPr>
        <w:wordWrap w:val="0"/>
        <w:spacing w:line="480" w:lineRule="auto"/>
        <w:rPr>
          <w:rFonts w:hint="eastAsia" w:ascii="宋体" w:hAnsi="宋体" w:eastAsia="宋体" w:cs="宋体"/>
          <w:color w:val="auto"/>
          <w:sz w:val="22"/>
          <w:highlight w:val="none"/>
        </w:rPr>
      </w:pPr>
    </w:p>
    <w:p w14:paraId="525A91A6">
      <w:pPr>
        <w:wordWrap w:val="0"/>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pacing w:val="90"/>
          <w:sz w:val="30"/>
          <w:highlight w:val="none"/>
        </w:rPr>
        <w:t>项目名称</w:t>
      </w:r>
      <w:r>
        <w:rPr>
          <w:rFonts w:hint="eastAsia" w:ascii="宋体" w:hAnsi="宋体" w:eastAsia="宋体" w:cs="宋体"/>
          <w:color w:val="auto"/>
          <w:sz w:val="30"/>
          <w:highlight w:val="none"/>
        </w:rPr>
        <w:t>：</w:t>
      </w:r>
    </w:p>
    <w:p w14:paraId="6A6D93CD">
      <w:pPr>
        <w:wordWrap w:val="0"/>
        <w:spacing w:line="480" w:lineRule="auto"/>
        <w:rPr>
          <w:rFonts w:hint="eastAsia" w:ascii="宋体" w:hAnsi="宋体" w:eastAsia="宋体" w:cs="宋体"/>
          <w:color w:val="auto"/>
          <w:sz w:val="30"/>
          <w:highlight w:val="none"/>
        </w:rPr>
      </w:pPr>
      <w:r>
        <w:rPr>
          <w:rFonts w:hint="eastAsia" w:ascii="宋体" w:hAnsi="宋体" w:eastAsia="宋体" w:cs="宋体"/>
          <w:color w:val="auto"/>
          <w:spacing w:val="90"/>
          <w:sz w:val="30"/>
          <w:highlight w:val="none"/>
        </w:rPr>
        <w:t>工程地点</w:t>
      </w:r>
      <w:r>
        <w:rPr>
          <w:rFonts w:hint="eastAsia" w:ascii="宋体" w:hAnsi="宋体" w:eastAsia="宋体" w:cs="宋体"/>
          <w:color w:val="auto"/>
          <w:sz w:val="30"/>
          <w:highlight w:val="none"/>
        </w:rPr>
        <w:t>：</w:t>
      </w:r>
    </w:p>
    <w:p w14:paraId="045F6EAF">
      <w:pPr>
        <w:wordWrap w:val="0"/>
        <w:spacing w:line="48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设计证书等级： </w:t>
      </w:r>
    </w:p>
    <w:p w14:paraId="30F15166">
      <w:pPr>
        <w:wordWrap w:val="0"/>
        <w:spacing w:line="48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委托方（甲方）：</w:t>
      </w:r>
    </w:p>
    <w:p w14:paraId="44F94CCA">
      <w:pPr>
        <w:wordWrap w:val="0"/>
        <w:spacing w:line="48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30"/>
          <w:highlight w:val="none"/>
        </w:rPr>
        <w:t>受托方（乙方）：</w:t>
      </w:r>
    </w:p>
    <w:p w14:paraId="4DC75005">
      <w:pPr>
        <w:wordWrap w:val="0"/>
        <w:spacing w:line="480" w:lineRule="auto"/>
        <w:rPr>
          <w:rFonts w:hint="eastAsia" w:ascii="宋体" w:hAnsi="宋体" w:eastAsia="宋体" w:cs="宋体"/>
          <w:color w:val="auto"/>
          <w:sz w:val="22"/>
          <w:highlight w:val="none"/>
        </w:rPr>
      </w:pPr>
    </w:p>
    <w:p w14:paraId="16F674FC">
      <w:pPr>
        <w:wordWrap w:val="0"/>
        <w:spacing w:line="480" w:lineRule="auto"/>
        <w:rPr>
          <w:rFonts w:hint="eastAsia" w:ascii="宋体" w:hAnsi="宋体" w:eastAsia="宋体" w:cs="宋体"/>
          <w:color w:val="auto"/>
          <w:sz w:val="22"/>
          <w:highlight w:val="none"/>
        </w:rPr>
      </w:pPr>
    </w:p>
    <w:p w14:paraId="24A04B64">
      <w:pPr>
        <w:wordWrap w:val="0"/>
        <w:spacing w:line="480" w:lineRule="auto"/>
        <w:jc w:val="center"/>
        <w:rPr>
          <w:rFonts w:hint="eastAsia" w:ascii="宋体" w:hAnsi="宋体" w:eastAsia="宋体" w:cs="宋体"/>
          <w:color w:val="auto"/>
          <w:spacing w:val="30"/>
          <w:sz w:val="32"/>
          <w:highlight w:val="none"/>
        </w:rPr>
      </w:pPr>
      <w:r>
        <w:rPr>
          <w:rFonts w:hint="eastAsia" w:ascii="宋体" w:hAnsi="宋体" w:eastAsia="宋体" w:cs="宋体"/>
          <w:color w:val="auto"/>
          <w:spacing w:val="30"/>
          <w:sz w:val="32"/>
          <w:highlight w:val="none"/>
        </w:rPr>
        <mc:AlternateContent>
          <mc:Choice Requires="wps">
            <w:drawing>
              <wp:anchor distT="0" distB="0" distL="114300" distR="114300" simplePos="0" relativeHeight="251659264" behindDoc="0" locked="0" layoutInCell="1" allowOverlap="1">
                <wp:simplePos x="0" y="0"/>
                <wp:positionH relativeFrom="column">
                  <wp:posOffset>4417060</wp:posOffset>
                </wp:positionH>
                <wp:positionV relativeFrom="paragraph">
                  <wp:posOffset>207645</wp:posOffset>
                </wp:positionV>
                <wp:extent cx="800100" cy="3962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w="0" cap="flat" cmpd="sng">
                          <a:solidFill>
                            <a:srgbClr val="FFFFFF"/>
                          </a:solidFill>
                          <a:prstDash val="solid"/>
                          <a:miter/>
                          <a:headEnd type="none" w="med" len="med"/>
                          <a:tailEnd type="none" w="med" len="med"/>
                        </a:ln>
                      </wps:spPr>
                      <wps:txbx>
                        <w:txbxContent>
                          <w:p w14:paraId="493AA4CD">
                            <w:pPr>
                              <w:rPr>
                                <w:rFonts w:hint="eastAsia" w:ascii="Times New Roman" w:hAnsi="Times New Roman" w:eastAsia="宋体" w:cs="Times New Roman"/>
                                <w:sz w:val="32"/>
                              </w:rPr>
                            </w:pPr>
                            <w:r>
                              <w:rPr>
                                <w:rFonts w:hint="eastAsia" w:ascii="Times New Roman" w:hAnsi="Times New Roman" w:eastAsia="宋体" w:cs="Times New Roman"/>
                                <w:w w:val="115"/>
                                <w:sz w:val="32"/>
                              </w:rPr>
                              <w:t>监制</w:t>
                            </w:r>
                          </w:p>
                        </w:txbxContent>
                      </wps:txbx>
                      <wps:bodyPr upright="1"/>
                    </wps:wsp>
                  </a:graphicData>
                </a:graphic>
              </wp:anchor>
            </w:drawing>
          </mc:Choice>
          <mc:Fallback>
            <w:pict>
              <v:shape id="_x0000_s1026" o:spid="_x0000_s1026" o:spt="202" type="#_x0000_t202" style="position:absolute;left:0pt;margin-left:347.8pt;margin-top:16.35pt;height:31.2pt;width:63pt;z-index:251659264;mso-width-relative:page;mso-height-relative:page;" filled="f" stroked="t" coordsize="21600,21600" o:gfxdata="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iH/YAAAACQEAAA8AAAAAAAAAAQAgAAAAIgAAAGRycy9kb3du&#10;cmV2LnhtbFBLAQIUABQAAAAIAIdO4kBUf3gz/wEAAAkEAAAOAAAAAAAAAAEAIAAAACcBAABkcnMv&#10;ZTJvRG9jLnhtbFBLBQYAAAAABgAGAFkBAACYBQAAAAA=&#10;">
                <v:fill on="f" focussize="0,0"/>
                <v:stroke weight="0pt" color="#FFFFFF" joinstyle="miter"/>
                <v:imagedata o:title=""/>
                <o:lock v:ext="edit" aspectratio="f"/>
                <v:textbox>
                  <w:txbxContent>
                    <w:p w14:paraId="493AA4CD">
                      <w:pPr>
                        <w:rPr>
                          <w:rFonts w:hint="eastAsia" w:ascii="Times New Roman" w:hAnsi="Times New Roman" w:eastAsia="宋体" w:cs="Times New Roman"/>
                          <w:sz w:val="32"/>
                        </w:rPr>
                      </w:pPr>
                      <w:r>
                        <w:rPr>
                          <w:rFonts w:hint="eastAsia" w:ascii="Times New Roman" w:hAnsi="Times New Roman" w:eastAsia="宋体" w:cs="Times New Roman"/>
                          <w:w w:val="115"/>
                          <w:sz w:val="32"/>
                        </w:rPr>
                        <w:t>监制</w:t>
                      </w:r>
                    </w:p>
                  </w:txbxContent>
                </v:textbox>
              </v:shape>
            </w:pict>
          </mc:Fallback>
        </mc:AlternateContent>
      </w:r>
      <w:r>
        <w:rPr>
          <w:rFonts w:hint="eastAsia" w:ascii="宋体" w:hAnsi="宋体" w:eastAsia="宋体" w:cs="宋体"/>
          <w:color w:val="auto"/>
          <w:spacing w:val="30"/>
          <w:sz w:val="32"/>
          <w:highlight w:val="none"/>
        </w:rPr>
        <w:t>中华人民共和国建设部</w:t>
      </w:r>
    </w:p>
    <w:p w14:paraId="2A6F48FC">
      <w:pPr>
        <w:wordWrap w:val="0"/>
        <w:spacing w:line="480" w:lineRule="auto"/>
        <w:jc w:val="center"/>
        <w:rPr>
          <w:rFonts w:hint="eastAsia" w:ascii="宋体" w:hAnsi="宋体" w:eastAsia="宋体" w:cs="宋体"/>
          <w:color w:val="auto"/>
          <w:spacing w:val="30"/>
          <w:sz w:val="32"/>
          <w:highlight w:val="none"/>
        </w:rPr>
      </w:pPr>
      <w:r>
        <w:rPr>
          <w:rFonts w:hint="eastAsia" w:ascii="宋体" w:hAnsi="宋体" w:eastAsia="宋体" w:cs="宋体"/>
          <w:color w:val="auto"/>
          <w:spacing w:val="30"/>
          <w:sz w:val="32"/>
          <w:highlight w:val="none"/>
        </w:rPr>
        <w:t>国家市场监督管理总局</w:t>
      </w:r>
    </w:p>
    <w:p w14:paraId="2DE90545">
      <w:pPr>
        <w:wordWrap w:val="0"/>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44"/>
          <w:highlight w:val="none"/>
        </w:rPr>
        <w:t>规划设计合同</w:t>
      </w:r>
    </w:p>
    <w:p w14:paraId="43BC3C42">
      <w:pPr>
        <w:widowControl w:val="0"/>
        <w:wordWrap w:val="0"/>
        <w:spacing w:after="120" w:line="240" w:lineRule="auto"/>
        <w:ind w:left="420" w:leftChars="200" w:firstLine="420"/>
        <w:jc w:val="both"/>
        <w:rPr>
          <w:rFonts w:hint="eastAsia" w:ascii="宋体" w:hAnsi="宋体" w:eastAsia="宋体" w:cs="宋体"/>
          <w:color w:val="auto"/>
          <w:kern w:val="2"/>
          <w:sz w:val="21"/>
          <w:szCs w:val="24"/>
          <w:highlight w:val="none"/>
          <w:lang w:val="en-US" w:eastAsia="zh-CN" w:bidi="ar-SA"/>
        </w:rPr>
      </w:pPr>
    </w:p>
    <w:p w14:paraId="3AE5A13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rPr>
        <w:t xml:space="preserve">                                          </w:t>
      </w:r>
    </w:p>
    <w:p w14:paraId="32276A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7D2CD738">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依照《中华人民共和国民法典》及其它相关法律、法规，双方充分沟通，就甲方委托乙方承担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编制工作，双方协商一致，签订本合同。</w:t>
      </w:r>
    </w:p>
    <w:p w14:paraId="278558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第一条 </w:t>
      </w:r>
      <w:r>
        <w:rPr>
          <w:rFonts w:hint="eastAsia" w:ascii="宋体" w:hAnsi="宋体" w:eastAsia="宋体" w:cs="宋体"/>
          <w:b/>
          <w:bCs/>
          <w:color w:val="auto"/>
          <w:sz w:val="24"/>
          <w:szCs w:val="24"/>
          <w:highlight w:val="none"/>
        </w:rPr>
        <w:t>项目情况</w:t>
      </w:r>
    </w:p>
    <w:p w14:paraId="74F37268">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rPr>
        <w:t xml:space="preserve">                                       </w:t>
      </w:r>
    </w:p>
    <w:p w14:paraId="324C865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2.规划范围：</w:t>
      </w:r>
      <w:r>
        <w:rPr>
          <w:rFonts w:hint="eastAsia" w:ascii="宋体" w:hAnsi="宋体" w:eastAsia="宋体" w:cs="宋体"/>
          <w:color w:val="auto"/>
          <w:sz w:val="24"/>
          <w:szCs w:val="24"/>
          <w:highlight w:val="none"/>
          <w:u w:val="single"/>
        </w:rPr>
        <w:t xml:space="preserve">                                      </w:t>
      </w:r>
    </w:p>
    <w:p w14:paraId="08FB765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第二条 </w:t>
      </w:r>
      <w:r>
        <w:rPr>
          <w:rFonts w:hint="eastAsia" w:ascii="宋体" w:hAnsi="宋体" w:eastAsia="宋体" w:cs="宋体"/>
          <w:b/>
          <w:bCs/>
          <w:color w:val="auto"/>
          <w:sz w:val="24"/>
          <w:szCs w:val="24"/>
          <w:highlight w:val="none"/>
        </w:rPr>
        <w:t>技术要求</w:t>
      </w:r>
    </w:p>
    <w:p w14:paraId="549C8CB8">
      <w:pPr>
        <w:keepNext w:val="0"/>
        <w:keepLines w:val="0"/>
        <w:pageBreakBefore w:val="0"/>
        <w:widowControl w:val="0"/>
        <w:kinsoku/>
        <w:wordWrap w:val="0"/>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依据《中华人民共和国城乡规划法》及相关法律法规等其他的相关技术标准、规范以及相关规划等要求。</w:t>
      </w:r>
    </w:p>
    <w:p w14:paraId="669381D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第三条 </w:t>
      </w:r>
      <w:r>
        <w:rPr>
          <w:rFonts w:hint="eastAsia" w:ascii="宋体" w:hAnsi="宋体" w:eastAsia="宋体" w:cs="宋体"/>
          <w:b/>
          <w:bCs/>
          <w:color w:val="auto"/>
          <w:sz w:val="24"/>
          <w:szCs w:val="24"/>
          <w:highlight w:val="none"/>
        </w:rPr>
        <w:t>工作内容</w:t>
      </w:r>
    </w:p>
    <w:p w14:paraId="2D7F58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、设计范围与层次</w:t>
      </w:r>
    </w:p>
    <w:p w14:paraId="34B337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本次规划范围主要为平阳站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片区，统筹考虑对站后片区的带动作用。</w:t>
      </w:r>
    </w:p>
    <w:p w14:paraId="22D1A6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片区：东至鸽巢河，西至山脚线，南至六分线（原104国道），北至温福铁路，总面积约3.64平方公里。</w:t>
      </w:r>
    </w:p>
    <w:p w14:paraId="25BD5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站后片：</w:t>
      </w:r>
      <w:r>
        <w:rPr>
          <w:rFonts w:hint="eastAsia" w:ascii="宋体" w:hAnsi="宋体" w:eastAsia="宋体" w:cs="宋体"/>
          <w:color w:val="auto"/>
          <w:sz w:val="24"/>
          <w:szCs w:val="24"/>
          <w:highlight w:val="none"/>
        </w:rPr>
        <w:t>站后片区主要包括荆溪山及周边山体、农田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总面积约7.86</w:t>
      </w:r>
      <w:r>
        <w:rPr>
          <w:rFonts w:hint="eastAsia" w:ascii="宋体" w:hAnsi="宋体" w:eastAsia="宋体" w:cs="宋体"/>
          <w:color w:val="auto"/>
          <w:sz w:val="24"/>
          <w:szCs w:val="24"/>
          <w:highlight w:val="none"/>
        </w:rPr>
        <w:t>平方公里（具体范围按规划深入后确定）</w:t>
      </w:r>
    </w:p>
    <w:p w14:paraId="6FD50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本次规划范围内规划任务包括平阳站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片区的控制性详细规划和实施性城市设计</w:t>
      </w:r>
      <w:r>
        <w:rPr>
          <w:rFonts w:hint="eastAsia" w:ascii="宋体" w:hAnsi="宋体" w:eastAsia="宋体" w:cs="宋体"/>
          <w:color w:val="auto"/>
          <w:sz w:val="24"/>
          <w:szCs w:val="24"/>
          <w:highlight w:val="none"/>
          <w:lang w:val="en-US" w:eastAsia="zh-CN"/>
        </w:rPr>
        <w:t>及站后片概念规划设计。</w:t>
      </w:r>
    </w:p>
    <w:p w14:paraId="6B2899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控制性详细规划</w:t>
      </w:r>
    </w:p>
    <w:p w14:paraId="029F5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约3.64平方千米范围内，以国土空间规划及其他相关规划为依据，以满足规划管理需求为导向，对一定时期内各规划单元的土地使用、人口分布、公共设施、城市基础设施进行具体安排，对各项建设进行规划引导，形成指导规划实施和管理的规划文件。</w:t>
      </w:r>
    </w:p>
    <w:p w14:paraId="332770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城市设计</w:t>
      </w:r>
    </w:p>
    <w:p w14:paraId="06610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城市设计范围包括平阳站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约3.64平方千米范围，并将协同区、站后片区一并纳入研究范围统筹考虑。城市设计将充分挖掘区域特色、产业发展潜力，妥善处理好滨河景观、标志建筑与开放空间的关系，协调城市建筑界面与景观环境的互动性，深入研究协同区西塘河北侧用地与周边地块未来的产业方向几建筑空间形态，具体包括但不限于片区总体定位、设计理念、功能布局、水岸岸线设计、慢行系统设计、景观风貌设计等相关内容；同时，对重要建筑组群或单体的功能组织和空间设计进行深化细化，并统筹考虑开发时序、开发模式等内容。站后片区主要从区位条件、资源禀赋、资源集聚能力以及福温高铁通车之后带来的外部条件变化等多角度出发，构建新一轮发展的基础条件，谋划发展新动力；对片区的目标定位、空间结构、功能布局、综合交通等进行设计。</w:t>
      </w:r>
    </w:p>
    <w:p w14:paraId="7A5976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3.概念规划</w:t>
      </w:r>
    </w:p>
    <w:p w14:paraId="15AF5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后片区要从区位条件、资源禀赋、资源集聚能力以及福温高铁通车之后带来的外部条件变化等多角度出发，构建新一轮发展的基础条件，谋划发展新动力；规划将从区域协同层面进行资源梳理、空间统筹和功能布局，谋划发展新路径，结合国际先进地区的发展案例，对片区的目标定位、空间结构、功能布局、综合交通等进行设计，达到概念规划深度。</w:t>
      </w:r>
    </w:p>
    <w:p w14:paraId="4B1E65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、规划原则</w:t>
      </w:r>
    </w:p>
    <w:p w14:paraId="0D6D7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功能复合：以“站城一体”为导向，融合商务、研发、居住、文旅功能，构建15分钟生活圈。</w:t>
      </w:r>
    </w:p>
    <w:p w14:paraId="3B57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交通优先：优化轻轨S3线线位（推荐沿协同大道-广场路布局），建设动态绿波带与立体交通枢纽。</w:t>
      </w:r>
    </w:p>
    <w:p w14:paraId="74655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生态赋能：采用EOD模式修复西塘河生态廊道，联动发展绿色产业。</w:t>
      </w:r>
    </w:p>
    <w:p w14:paraId="6153A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文化彰显：塑造“高铁+文化”特色风貌。</w:t>
      </w:r>
    </w:p>
    <w:p w14:paraId="0886A6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、任务内容</w:t>
      </w:r>
    </w:p>
    <w:p w14:paraId="3F31A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规划内容城市设计，城市设计符合《浙江省城市设计编制导则》中要求编制。</w:t>
      </w:r>
    </w:p>
    <w:p w14:paraId="0E969E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1.城市设计</w:t>
      </w:r>
    </w:p>
    <w:p w14:paraId="052F2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分考虑福温高铁开通后对片区的影响，站在新的发展背景下考虑片区发展定位，以最新的规划设计理念提出规划设计思路，合理确定片区未开发区域的建设强度、开放空间系统、建筑群体、交通组织、环境景观、地下空间、建筑风貌等要素，深化未开发地块的设计、提出规划设计条件，同时对已开发地块提出更新提升方案，并充分考虑与站后区域、特别是协同区的联动关系。</w:t>
      </w:r>
    </w:p>
    <w:p w14:paraId="07C61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（1）设计目标：根据项目的现状条件、功能和业态要求、周边交通、景观要素等，提出整体风貌特征的目标。</w:t>
      </w:r>
    </w:p>
    <w:p w14:paraId="7869BA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（2）开放空间：确定广场、街道、公园绿地的功能布局、空间形态、交通组织和环境景观。</w:t>
      </w:r>
    </w:p>
    <w:p w14:paraId="71AC5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（3）建筑群体：</w:t>
      </w:r>
    </w:p>
    <w:p w14:paraId="403AD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1）确定建筑的高度、体量、形态及建筑群体的空间组合关系，并对建筑风格、立面材料及色彩等提出引导要求。</w:t>
      </w:r>
    </w:p>
    <w:p w14:paraId="10149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2）对历史街区、传统风貌保护区内及其相邻建筑的高度、体量、肌理、风格、色彩、材质等提出控制要求。</w:t>
      </w:r>
    </w:p>
    <w:p w14:paraId="6D546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3）确定公园绿地、广场、 街道等界面的建筑后退、建筑高度、底层建筑形式、功能和界面连续性，并对立面风格、色彩、材料等提出设计要求。</w:t>
      </w:r>
    </w:p>
    <w:p w14:paraId="510527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4）涉及住宅、医院、学校等的项目还应进行日照分析，满足相关规定要求。</w:t>
      </w:r>
    </w:p>
    <w:p w14:paraId="3EF94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（4）交通组织：</w:t>
      </w:r>
    </w:p>
    <w:p w14:paraId="6EB03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1）根据高铁接入平阳站的场景，研究平阳站枢纽的能级变化与服务功能的变化，提出平阳站的交通枢纽定位，布局平阳站新老站房。</w:t>
      </w:r>
    </w:p>
    <w:p w14:paraId="37E62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2）研究高铁枢纽建设与规划S3、周边道路网及交通配套设施等造成的影响，提出相应的组织模式和规划方案。</w:t>
      </w:r>
    </w:p>
    <w:p w14:paraId="1422F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3）研究平阳站交通配套规模和相应位置。</w:t>
      </w:r>
    </w:p>
    <w:p w14:paraId="40EA8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4）组织步行与车行交通，并满足消防要求。</w:t>
      </w:r>
    </w:p>
    <w:p w14:paraId="2D26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5）确定步行通道的位置，确定空中连廊和地下通道的宽度、 标高及建筑预留接口要求。</w:t>
      </w:r>
    </w:p>
    <w:p w14:paraId="6A46A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（5）环境景观设施：</w:t>
      </w:r>
    </w:p>
    <w:p w14:paraId="37D36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1）提出公园绿地、广场、街道等开放空间的绿化种植方式，对古树名木或现状特色植物提出保护措施。</w:t>
      </w:r>
    </w:p>
    <w:p w14:paraId="4B1E1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片区已开发用地风貌提升提出要求和提升措施、对公园、城市广场等的地面铺装的形式、色彩、 材质提出设计要求。</w:t>
      </w:r>
    </w:p>
    <w:p w14:paraId="6AECA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（6）地下空间：</w:t>
      </w:r>
    </w:p>
    <w:p w14:paraId="055E4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1）确定地下空间的位置、范围、用途、出入口及垂直交通设施的位置，对公共的地下（半地下）广场、通道等的环境景观特色提出设计要求。</w:t>
      </w:r>
    </w:p>
    <w:p w14:paraId="636C2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2）确定规划范围内不同地下空间之间、 与规划范围外相邻地下空间之间的联系通道的位置、宽度、标高。</w:t>
      </w:r>
    </w:p>
    <w:p w14:paraId="21E51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2.控制性详细规划</w:t>
      </w:r>
    </w:p>
    <w:p w14:paraId="3816E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性详细规划应当包括下列基本内容：土地使用性质及其兼容性等用地功能控制要求；容积率、建筑高度、建筑密度、绿地率等用地指标；基础设施、公共服务设施、公共安全设施的用地规模、范围及具体控制要求，地下管线控制要求；基础设施用地的控制界线（黄线）、各类绿地范围的控制线（绿线）、历史文化街区和历史建筑的保护范围界线（紫线）、地表水体保护和控制的地域界线（蓝线）等“四线”及控制要求。</w:t>
      </w:r>
    </w:p>
    <w:p w14:paraId="765D7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（1）用地布局规划：</w:t>
      </w:r>
    </w:p>
    <w:p w14:paraId="1E6AE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依据城市总体规划和相关专项规划，合理确定规划范围内城市（镇）建设用地与非城市（镇）建设用地。</w:t>
      </w:r>
    </w:p>
    <w:p w14:paraId="7D849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（2）“六线”控制：</w:t>
      </w:r>
    </w:p>
    <w:p w14:paraId="5853E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“六线”是指道路红线、城市绿线、城市蓝线、紫线、公益性公共设施橙线和城市黄线等六线。其控制内容应在进行专项研究和系统规划基础上，确定线位、规模及所附属的控制要求。</w:t>
      </w:r>
    </w:p>
    <w:p w14:paraId="1611A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（3）公共设施规划：</w:t>
      </w:r>
    </w:p>
    <w:p w14:paraId="63FA6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确定各类公共设施的规划原则及其规划控制要求。</w:t>
      </w:r>
    </w:p>
    <w:p w14:paraId="7402D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（4）道路交通规划：</w:t>
      </w:r>
    </w:p>
    <w:p w14:paraId="5959F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开展交通定量分析工作，进行土地开发强度与交通系统承载力的匹配分析，为确定单元和各街区合理的开发容量提供依据。提出单元交通需要解决的主要问题、相应的交通发展策略以及道路交通设施布局方案。</w:t>
      </w:r>
    </w:p>
    <w:p w14:paraId="1730DBF8">
      <w:pPr>
        <w:keepNext w:val="0"/>
        <w:keepLines w:val="0"/>
        <w:pageBreakBefore w:val="0"/>
        <w:widowControl w:val="0"/>
        <w:kinsoku/>
        <w:wordWrap/>
        <w:overflowPunct/>
        <w:topLinePunct w:val="0"/>
        <w:autoSpaceDE/>
        <w:autoSpaceDN/>
        <w:bidi w:val="0"/>
        <w:adjustRightInd/>
        <w:snapToGrid/>
        <w:spacing w:line="360" w:lineRule="auto"/>
        <w:ind w:left="6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（5）市政工程规划：</w:t>
      </w:r>
    </w:p>
    <w:p w14:paraId="28FE6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合理确定各类市政设施的规划原则、服务范围、规模和用地边界，确定各类市政工程管线的管径、走向、布设方式及道路下各类管线的管位，并提出各类市政设施的规划控制要求。</w:t>
      </w:r>
    </w:p>
    <w:p w14:paraId="57425F09">
      <w:pPr>
        <w:keepNext w:val="0"/>
        <w:keepLines w:val="0"/>
        <w:pageBreakBefore w:val="0"/>
        <w:widowControl w:val="0"/>
        <w:kinsoku/>
        <w:wordWrap/>
        <w:overflowPunct/>
        <w:topLinePunct w:val="0"/>
        <w:autoSpaceDE/>
        <w:autoSpaceDN/>
        <w:bidi w:val="0"/>
        <w:adjustRightInd/>
        <w:snapToGrid/>
        <w:spacing w:line="360" w:lineRule="auto"/>
        <w:ind w:firstLine="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（6）建筑限高控制：</w:t>
      </w:r>
    </w:p>
    <w:p w14:paraId="51E65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根据城市建筑高度控制要求，确定单元的建筑限高控制。</w:t>
      </w:r>
    </w:p>
    <w:p w14:paraId="23E0364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3.概念规划</w:t>
      </w:r>
    </w:p>
    <w:p w14:paraId="7D809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（1）充分做好国内外的理论研究及案例分析，结合平阳站</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片区的规划定位和功能布局，挖掘站后片区各类资源，提出站前、站后联动发展的策略及站后片区的发展定位。</w:t>
      </w:r>
    </w:p>
    <w:p w14:paraId="1BC9C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（2）确定站后片区的区域功能，城乡功能，根据国土空间规划成果和三调成果，提出概念方案并提出控制要求，并研究约束条件，给下一步工作开展提供依据。</w:t>
      </w:r>
    </w:p>
    <w:p w14:paraId="16E5399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（3）组织站后片区的内部交通及站后片与站前片、周边区域的对外交通联系。</w:t>
      </w:r>
    </w:p>
    <w:p w14:paraId="03DB619D">
      <w:pPr>
        <w:keepNext w:val="0"/>
        <w:keepLines w:val="0"/>
        <w:pageBreakBefore w:val="0"/>
        <w:widowControl w:val="0"/>
        <w:kinsoku/>
        <w:wordWrap w:val="0"/>
        <w:overflowPunct/>
        <w:topLinePunct w:val="0"/>
        <w:autoSpaceDE/>
        <w:autoSpaceDN/>
        <w:bidi w:val="0"/>
        <w:adjustRightInd/>
        <w:snapToGrid/>
        <w:spacing w:line="360" w:lineRule="auto"/>
        <w:ind w:lef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工作成果内容包括：</w:t>
      </w:r>
    </w:p>
    <w:p w14:paraId="4C522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1.文本与图纸</w:t>
      </w:r>
    </w:p>
    <w:p w14:paraId="425EA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规划文本：含实施策略、分期计划、投资估算。</w:t>
      </w:r>
    </w:p>
    <w:p w14:paraId="50F26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核心图纸：用地规划图、交通组织图、风貌管控图、产业布局图（CAD+JPG格式）。</w:t>
      </w:r>
    </w:p>
    <w:p w14:paraId="495D2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w:t>
      </w:r>
    </w:p>
    <w:p w14:paraId="52ED9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可行性报告：高铁场站建设与产业开发的经济平衡分析。</w:t>
      </w:r>
    </w:p>
    <w:p w14:paraId="492196D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第四条 </w:t>
      </w:r>
      <w:r>
        <w:rPr>
          <w:rFonts w:hint="eastAsia" w:ascii="宋体" w:hAnsi="宋体" w:eastAsia="宋体" w:cs="宋体"/>
          <w:b/>
          <w:bCs/>
          <w:color w:val="auto"/>
          <w:sz w:val="24"/>
          <w:szCs w:val="24"/>
          <w:highlight w:val="none"/>
        </w:rPr>
        <w:t>拟派本项目负责人</w:t>
      </w:r>
      <w:r>
        <w:rPr>
          <w:rFonts w:hint="eastAsia" w:ascii="宋体" w:hAnsi="宋体" w:eastAsia="宋体" w:cs="宋体"/>
          <w:b/>
          <w:bCs/>
          <w:color w:val="auto"/>
          <w:sz w:val="24"/>
          <w:szCs w:val="24"/>
          <w:highlight w:val="none"/>
          <w:lang w:val="en-US" w:eastAsia="zh-CN"/>
        </w:rPr>
        <w:t>及服务期</w:t>
      </w:r>
    </w:p>
    <w:p w14:paraId="095D77A4">
      <w:pPr>
        <w:keepNext w:val="0"/>
        <w:keepLines w:val="0"/>
        <w:pageBreakBefore w:val="0"/>
        <w:widowControl w:val="0"/>
        <w:kinsoku/>
        <w:wordWrap w:val="0"/>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p>
    <w:p w14:paraId="4EC68E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根据双方协商，乙方应在合同签订后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lang w:val="en-US" w:eastAsia="zh-CN"/>
        </w:rPr>
        <w:t>服务期</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完成并提交规划全部成果。</w:t>
      </w:r>
    </w:p>
    <w:p w14:paraId="5EDFCE64">
      <w:pPr>
        <w:keepNext w:val="0"/>
        <w:keepLines w:val="0"/>
        <w:pageBreakBefore w:val="0"/>
        <w:widowControl w:val="0"/>
        <w:kinsoku/>
        <w:wordWrap w:val="0"/>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项目编制周期为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835"/>
        <w:gridCol w:w="3969"/>
      </w:tblGrid>
      <w:tr w14:paraId="17D3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37" w:type="dxa"/>
            <w:noWrap w:val="0"/>
            <w:vAlign w:val="center"/>
          </w:tcPr>
          <w:p w14:paraId="16C9E1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835" w:type="dxa"/>
            <w:noWrap w:val="0"/>
            <w:vAlign w:val="center"/>
          </w:tcPr>
          <w:p w14:paraId="02D1A0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阶段成果</w:t>
            </w:r>
          </w:p>
        </w:tc>
        <w:tc>
          <w:tcPr>
            <w:tcW w:w="3969" w:type="dxa"/>
            <w:noWrap w:val="0"/>
            <w:vAlign w:val="center"/>
          </w:tcPr>
          <w:p w14:paraId="5D083C1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提交方式及时间</w:t>
            </w:r>
          </w:p>
        </w:tc>
      </w:tr>
      <w:tr w14:paraId="069F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37" w:type="dxa"/>
            <w:vMerge w:val="restart"/>
            <w:noWrap w:val="0"/>
            <w:vAlign w:val="center"/>
          </w:tcPr>
          <w:p w14:paraId="401915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p>
        </w:tc>
        <w:tc>
          <w:tcPr>
            <w:tcW w:w="2835" w:type="dxa"/>
            <w:noWrap w:val="0"/>
            <w:vAlign w:val="center"/>
          </w:tcPr>
          <w:p w14:paraId="0FDD2A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3969" w:type="dxa"/>
            <w:noWrap w:val="0"/>
            <w:vAlign w:val="center"/>
          </w:tcPr>
          <w:p w14:paraId="1CC65A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FA5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37" w:type="dxa"/>
            <w:vMerge w:val="continue"/>
            <w:noWrap w:val="0"/>
            <w:vAlign w:val="center"/>
          </w:tcPr>
          <w:p w14:paraId="165858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p>
        </w:tc>
        <w:tc>
          <w:tcPr>
            <w:tcW w:w="2835" w:type="dxa"/>
            <w:noWrap w:val="0"/>
            <w:vAlign w:val="center"/>
          </w:tcPr>
          <w:p w14:paraId="52D578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3969" w:type="dxa"/>
            <w:noWrap w:val="0"/>
            <w:vAlign w:val="center"/>
          </w:tcPr>
          <w:p w14:paraId="53408D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2145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37" w:type="dxa"/>
            <w:vMerge w:val="continue"/>
            <w:noWrap w:val="0"/>
            <w:vAlign w:val="center"/>
          </w:tcPr>
          <w:p w14:paraId="4162BC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p>
        </w:tc>
        <w:tc>
          <w:tcPr>
            <w:tcW w:w="2835" w:type="dxa"/>
            <w:noWrap w:val="0"/>
            <w:vAlign w:val="center"/>
          </w:tcPr>
          <w:p w14:paraId="73AD2C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3969" w:type="dxa"/>
            <w:noWrap w:val="0"/>
            <w:vAlign w:val="center"/>
          </w:tcPr>
          <w:p w14:paraId="186F05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263A822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第五条 </w:t>
      </w:r>
      <w:r>
        <w:rPr>
          <w:rFonts w:hint="eastAsia" w:ascii="宋体" w:hAnsi="宋体" w:eastAsia="宋体" w:cs="宋体"/>
          <w:b/>
          <w:bCs/>
          <w:color w:val="auto"/>
          <w:sz w:val="24"/>
          <w:szCs w:val="24"/>
          <w:highlight w:val="none"/>
        </w:rPr>
        <w:t>合同价款</w:t>
      </w:r>
    </w:p>
    <w:p w14:paraId="30D1C57C">
      <w:pPr>
        <w:keepNext w:val="0"/>
        <w:keepLines w:val="0"/>
        <w:pageBreakBefore w:val="0"/>
        <w:widowControl w:val="0"/>
        <w:kinsoku/>
        <w:wordWrap w:val="0"/>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价款包含市场调研、内业数据整理、外业调查、资料费、交通费、专家方案评审费、成果印制费、售后服务费、差旅费、利润、税费等配合业主通过有关政府部门审批的相关服务等全部项目的费用及工作所发生的一切应有费用。</w:t>
      </w:r>
    </w:p>
    <w:p w14:paraId="326CE6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本次的规划编制费用为（大写）</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元整（小写</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元）。</w:t>
      </w:r>
    </w:p>
    <w:p w14:paraId="07AAFC0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合同价格形式：</w:t>
      </w:r>
      <w:r>
        <w:rPr>
          <w:rFonts w:hint="eastAsia" w:ascii="宋体" w:hAnsi="宋体" w:eastAsia="宋体" w:cs="宋体"/>
          <w:bCs/>
          <w:color w:val="auto"/>
          <w:kern w:val="2"/>
          <w:sz w:val="24"/>
          <w:szCs w:val="24"/>
          <w:highlight w:val="none"/>
          <w:u w:val="single"/>
          <w:lang w:val="en-US" w:eastAsia="zh-CN" w:bidi="ar-SA"/>
        </w:rPr>
        <w:t>固定总价</w:t>
      </w:r>
    </w:p>
    <w:p w14:paraId="1BA2C57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第六条 </w:t>
      </w:r>
      <w:r>
        <w:rPr>
          <w:rFonts w:hint="eastAsia" w:ascii="宋体" w:hAnsi="宋体" w:eastAsia="宋体" w:cs="宋体"/>
          <w:b/>
          <w:bCs/>
          <w:color w:val="auto"/>
          <w:sz w:val="24"/>
          <w:szCs w:val="24"/>
          <w:highlight w:val="none"/>
        </w:rPr>
        <w:t>付款方式</w:t>
      </w:r>
    </w:p>
    <w:p w14:paraId="1586A3D7">
      <w:pPr>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履约保证金：</w:t>
      </w:r>
      <w:r>
        <w:rPr>
          <w:rFonts w:hint="eastAsia" w:ascii="宋体" w:hAnsi="宋体" w:eastAsia="宋体" w:cs="宋体"/>
          <w:color w:val="auto"/>
          <w:kern w:val="2"/>
          <w:sz w:val="24"/>
          <w:szCs w:val="24"/>
          <w:highlight w:val="none"/>
          <w:lang w:val="en-US" w:eastAsia="zh-CN" w:bidi="ar-SA"/>
        </w:rPr>
        <w:t>中标供应商须在合同签订后7日内向采购人提交合同金额1%</w:t>
      </w:r>
      <w:r>
        <w:rPr>
          <w:rFonts w:hint="eastAsia" w:ascii="宋体" w:hAnsi="宋体" w:cs="宋体"/>
          <w:color w:val="auto"/>
          <w:kern w:val="2"/>
          <w:sz w:val="24"/>
          <w:szCs w:val="24"/>
          <w:highlight w:val="none"/>
          <w:lang w:val="en-US" w:eastAsia="zh-CN" w:bidi="ar-SA"/>
        </w:rPr>
        <w:t>（小写：   大写：  ）</w:t>
      </w:r>
      <w:r>
        <w:rPr>
          <w:rFonts w:hint="eastAsia" w:ascii="宋体" w:hAnsi="宋体" w:eastAsia="宋体" w:cs="宋体"/>
          <w:color w:val="auto"/>
          <w:kern w:val="2"/>
          <w:sz w:val="24"/>
          <w:szCs w:val="24"/>
          <w:highlight w:val="none"/>
          <w:lang w:val="en-US" w:eastAsia="zh-CN" w:bidi="ar-SA"/>
        </w:rPr>
        <w:t>作为履约保证金；</w:t>
      </w:r>
    </w:p>
    <w:p w14:paraId="4FA3CD47">
      <w:pPr>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第一次支付：</w:t>
      </w:r>
      <w:r>
        <w:rPr>
          <w:rFonts w:hint="eastAsia" w:ascii="宋体" w:hAnsi="宋体" w:eastAsia="宋体" w:cs="宋体"/>
          <w:color w:val="auto"/>
          <w:kern w:val="2"/>
          <w:sz w:val="24"/>
          <w:szCs w:val="24"/>
          <w:highlight w:val="none"/>
          <w:lang w:val="en-US" w:eastAsia="zh-CN" w:bidi="ar-SA"/>
        </w:rPr>
        <w:t>在签订合同后15日内采购人向中标供应商支付至合同价的10%</w:t>
      </w:r>
      <w:r>
        <w:rPr>
          <w:rFonts w:hint="eastAsia" w:ascii="宋体" w:hAnsi="宋体" w:cs="宋体"/>
          <w:color w:val="auto"/>
          <w:kern w:val="2"/>
          <w:sz w:val="24"/>
          <w:szCs w:val="24"/>
          <w:highlight w:val="none"/>
          <w:lang w:val="en-US" w:eastAsia="zh-CN" w:bidi="ar-SA"/>
        </w:rPr>
        <w:t>（小写：   大写：  ）</w:t>
      </w:r>
      <w:r>
        <w:rPr>
          <w:rFonts w:hint="eastAsia" w:ascii="宋体" w:hAnsi="宋体" w:eastAsia="宋体" w:cs="宋体"/>
          <w:color w:val="auto"/>
          <w:kern w:val="2"/>
          <w:sz w:val="24"/>
          <w:szCs w:val="24"/>
          <w:highlight w:val="none"/>
          <w:lang w:val="en-US" w:eastAsia="zh-CN" w:bidi="ar-SA"/>
        </w:rPr>
        <w:t>为预付款；</w:t>
      </w:r>
    </w:p>
    <w:p w14:paraId="34B78892">
      <w:pPr>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第二次支付：</w:t>
      </w:r>
      <w:r>
        <w:rPr>
          <w:rFonts w:hint="eastAsia" w:ascii="宋体" w:hAnsi="宋体" w:eastAsia="宋体" w:cs="宋体"/>
          <w:color w:val="auto"/>
          <w:kern w:val="2"/>
          <w:sz w:val="24"/>
          <w:szCs w:val="24"/>
          <w:highlight w:val="none"/>
          <w:lang w:val="en-US" w:eastAsia="zh-CN" w:bidi="ar-SA"/>
        </w:rPr>
        <w:t>中标供应商提交规划成果通过专家评审后10日内支付至合同价的60%</w:t>
      </w:r>
      <w:r>
        <w:rPr>
          <w:rFonts w:hint="eastAsia" w:ascii="宋体" w:hAnsi="宋体" w:cs="宋体"/>
          <w:color w:val="auto"/>
          <w:kern w:val="2"/>
          <w:sz w:val="24"/>
          <w:szCs w:val="24"/>
          <w:highlight w:val="none"/>
          <w:lang w:val="en-US" w:eastAsia="zh-CN" w:bidi="ar-SA"/>
        </w:rPr>
        <w:t>（小写：   大写：  ）</w:t>
      </w:r>
      <w:r>
        <w:rPr>
          <w:rFonts w:hint="eastAsia" w:ascii="宋体" w:hAnsi="宋体" w:eastAsia="宋体" w:cs="宋体"/>
          <w:color w:val="auto"/>
          <w:kern w:val="2"/>
          <w:sz w:val="24"/>
          <w:szCs w:val="24"/>
          <w:highlight w:val="none"/>
          <w:lang w:val="en-US" w:eastAsia="zh-CN" w:bidi="ar-SA"/>
        </w:rPr>
        <w:t>；</w:t>
      </w:r>
    </w:p>
    <w:p w14:paraId="27ED65ED">
      <w:pPr>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第三次支付：</w:t>
      </w:r>
      <w:r>
        <w:rPr>
          <w:rFonts w:hint="eastAsia" w:ascii="宋体" w:hAnsi="宋体" w:eastAsia="宋体" w:cs="宋体"/>
          <w:color w:val="auto"/>
          <w:kern w:val="2"/>
          <w:sz w:val="24"/>
          <w:szCs w:val="24"/>
          <w:highlight w:val="none"/>
          <w:lang w:val="en-US" w:eastAsia="zh-CN" w:bidi="ar-SA"/>
        </w:rPr>
        <w:t>中标供应商完成最终成果稿并合格后7日内支付至合同价的80%</w:t>
      </w:r>
      <w:r>
        <w:rPr>
          <w:rFonts w:hint="eastAsia" w:ascii="宋体" w:hAnsi="宋体" w:cs="宋体"/>
          <w:color w:val="auto"/>
          <w:kern w:val="2"/>
          <w:sz w:val="24"/>
          <w:szCs w:val="24"/>
          <w:highlight w:val="none"/>
          <w:lang w:val="en-US" w:eastAsia="zh-CN" w:bidi="ar-SA"/>
        </w:rPr>
        <w:t>（小写：   大写：  ）</w:t>
      </w:r>
    </w:p>
    <w:p w14:paraId="440C6A45">
      <w:pPr>
        <w:keepNext w:val="0"/>
        <w:keepLines w:val="0"/>
        <w:pageBreakBefore w:val="0"/>
        <w:widowControl w:val="0"/>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剩余20%合同金额在5年后续服务中逐年等额支付（时间以成果批复后次日起计算），</w:t>
      </w:r>
      <w:r>
        <w:rPr>
          <w:rFonts w:hint="eastAsia" w:ascii="宋体" w:hAnsi="宋体" w:cs="宋体"/>
          <w:color w:val="auto"/>
          <w:kern w:val="2"/>
          <w:sz w:val="24"/>
          <w:szCs w:val="24"/>
          <w:highlight w:val="none"/>
          <w:lang w:val="en-US" w:eastAsia="zh-CN" w:bidi="ar-SA"/>
        </w:rPr>
        <w:t>即每年支付合同金额4%的费用（小写：   大写：  ），</w:t>
      </w:r>
      <w:r>
        <w:rPr>
          <w:rFonts w:hint="eastAsia" w:ascii="宋体" w:hAnsi="宋体" w:eastAsia="宋体" w:cs="宋体"/>
          <w:color w:val="auto"/>
          <w:kern w:val="2"/>
          <w:sz w:val="24"/>
          <w:szCs w:val="24"/>
          <w:highlight w:val="none"/>
          <w:lang w:val="en-US" w:eastAsia="zh-CN" w:bidi="ar-SA"/>
        </w:rPr>
        <w:t>最后一笔支付完成后并一次性无息退还中标供应商的履约保证金。</w:t>
      </w:r>
    </w:p>
    <w:p w14:paraId="02EB0CA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第七条 </w:t>
      </w:r>
      <w:r>
        <w:rPr>
          <w:rFonts w:hint="eastAsia" w:ascii="宋体" w:hAnsi="宋体" w:eastAsia="宋体" w:cs="宋体"/>
          <w:color w:val="auto"/>
          <w:sz w:val="24"/>
          <w:szCs w:val="24"/>
          <w:highlight w:val="none"/>
          <w:lang w:val="en-US" w:eastAsia="zh-CN"/>
        </w:rPr>
        <w:t>甲方应及时向乙方提供基础资料作为规划编制的依据，并对其完整性、正确性及时限负责。</w:t>
      </w:r>
    </w:p>
    <w:p w14:paraId="40A4C68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第八条 </w:t>
      </w:r>
      <w:r>
        <w:rPr>
          <w:rFonts w:hint="eastAsia" w:ascii="宋体" w:hAnsi="宋体" w:eastAsia="宋体" w:cs="宋体"/>
          <w:color w:val="auto"/>
          <w:sz w:val="24"/>
          <w:szCs w:val="24"/>
          <w:highlight w:val="none"/>
          <w:lang w:val="en-US" w:eastAsia="zh-CN"/>
        </w:rPr>
        <w:t>甲方应及时组织各阶段成果的汇报、审查工作，将各阶段审查、征询的正式书面修改意见提交给乙方，乙方须按甲方书面意见进行修改。</w:t>
      </w:r>
    </w:p>
    <w:p w14:paraId="6370D86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第九条 </w:t>
      </w:r>
      <w:r>
        <w:rPr>
          <w:rFonts w:hint="eastAsia" w:ascii="宋体" w:hAnsi="宋体" w:eastAsia="宋体" w:cs="宋体"/>
          <w:color w:val="auto"/>
          <w:sz w:val="24"/>
          <w:szCs w:val="24"/>
          <w:highlight w:val="none"/>
          <w:lang w:val="en-US" w:eastAsia="zh-CN"/>
        </w:rPr>
        <w:t>甲方变更委托规划设计项目内容、规模、条件，或对所提供资料作较大修改时，应于确定修改之日起7个工作日内书面告知乙方，双方可另行协商签订补充合同，重新明确有关条款。</w:t>
      </w:r>
    </w:p>
    <w:p w14:paraId="44EB3DF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第十条 </w:t>
      </w:r>
      <w:r>
        <w:rPr>
          <w:rFonts w:hint="eastAsia" w:ascii="宋体" w:hAnsi="宋体" w:eastAsia="宋体" w:cs="宋体"/>
          <w:color w:val="auto"/>
          <w:sz w:val="24"/>
          <w:szCs w:val="24"/>
          <w:highlight w:val="none"/>
          <w:lang w:val="en-US" w:eastAsia="zh-CN"/>
        </w:rPr>
        <w:t>乙方应协助甲方组织、举办本规划设计项目草案和成果的评审、展示，负责解答相应的技术等问题，并配合甲方对执行的规划设计进行定期检讨。</w:t>
      </w:r>
    </w:p>
    <w:p w14:paraId="6D668F9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第十一条 </w:t>
      </w:r>
      <w:r>
        <w:rPr>
          <w:rFonts w:hint="eastAsia" w:ascii="宋体" w:hAnsi="宋体" w:eastAsia="宋体" w:cs="宋体"/>
          <w:b/>
          <w:bCs/>
          <w:color w:val="auto"/>
          <w:sz w:val="24"/>
          <w:szCs w:val="24"/>
          <w:highlight w:val="none"/>
        </w:rPr>
        <w:t>成果的权属</w:t>
      </w:r>
    </w:p>
    <w:p w14:paraId="042AECA6">
      <w:pPr>
        <w:keepNext w:val="0"/>
        <w:keepLines w:val="0"/>
        <w:pageBreakBefore w:val="0"/>
        <w:widowControl w:val="0"/>
        <w:kinsoku/>
        <w:wordWrap w:val="0"/>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本合同项下所有规划成果的所有权归甲方，成果知识产权属于双方共同拥有。</w:t>
      </w:r>
    </w:p>
    <w:p w14:paraId="744367E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第十二条 </w:t>
      </w:r>
      <w:r>
        <w:rPr>
          <w:rFonts w:hint="eastAsia" w:ascii="宋体" w:hAnsi="宋体" w:eastAsia="宋体" w:cs="宋体"/>
          <w:b/>
          <w:bCs/>
          <w:color w:val="auto"/>
          <w:sz w:val="24"/>
          <w:szCs w:val="24"/>
          <w:highlight w:val="none"/>
        </w:rPr>
        <w:t>保密条款</w:t>
      </w:r>
    </w:p>
    <w:p w14:paraId="7E0C75EE">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1.未经甲方同意，乙方不得向第三方扩散、转让甲方规划设计的所有中间成果和最终成果；</w:t>
      </w:r>
    </w:p>
    <w:p w14:paraId="46404DA6">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2.甲乙双方应妥善保管对方提供的资料，保守对方的各项秘密。未经对方许可，不得利用知悉的对方资料和成果为自己或第三方谋取利益。</w:t>
      </w:r>
    </w:p>
    <w:p w14:paraId="706B783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第十三条 </w:t>
      </w:r>
      <w:r>
        <w:rPr>
          <w:rFonts w:hint="eastAsia" w:ascii="宋体" w:hAnsi="宋体" w:eastAsia="宋体" w:cs="宋体"/>
          <w:b/>
          <w:bCs/>
          <w:color w:val="auto"/>
          <w:sz w:val="24"/>
          <w:szCs w:val="24"/>
          <w:highlight w:val="none"/>
        </w:rPr>
        <w:t>违约责任</w:t>
      </w:r>
    </w:p>
    <w:p w14:paraId="5A270FB1">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1.甲方违反本合同第七条规定，提交资料时间超过规定期限15天（含15天）以内，乙方交付成果的时间按本合同第四条的约定顺延；甲方提交资料超过规定期限15天以上时，乙方有权重新确定提交成果的时间。</w:t>
      </w:r>
    </w:p>
    <w:p w14:paraId="58541552">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变更委托规划设计项目、规模、条件或因提交的资料错误，或所提交资料作较大修改，造成乙方规划设计返工且返工费达到或超过合同价款的30%时，双方应另行协商签订补充协议或另行签订合同，重新明确有关条款。</w:t>
      </w:r>
    </w:p>
    <w:p w14:paraId="36272D7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在合同履行期间，因甲方原因造成合同终止或解除，乙方未开始规划设计工作的，不退还甲方已付的定金；已开始规划设计工作的，甲方应根据乙方已完成的实际工作量，不足或等于一半时，按该阶段规划设计费的一半支付；超过一半时，按该阶段规划设计费酌情支付。同时，乙方应将已完成的阶段成果移交给甲方。</w:t>
      </w:r>
    </w:p>
    <w:p w14:paraId="02C1F57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4.乙方以收到定金\规划任务委托书作为规划设计开工的标志。未收到定金\规划任务委托书，乙方有权推迟规划工作的开工时间，且交付成果的时间顺延。</w:t>
      </w:r>
    </w:p>
    <w:p w14:paraId="20FDF39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5.甲方要求乙方比合同规定时间提前交付成果时，须征得乙方同意。</w:t>
      </w:r>
    </w:p>
    <w:p w14:paraId="4A28222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6.乙方对规划设计成果出现的遗漏或错误负责修改或补充。由于乙方规划设计错误造成的损失，乙方除负责采取有效补救措施外，应免收受损失部分的规划设计费。</w:t>
      </w:r>
    </w:p>
    <w:p w14:paraId="3C61B0FA">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7.在合同履行期间，因乙方原因造成合同终止或解除的，乙方除退还甲方已预付的所有款项外,应赔偿金额与定金相等的违约金，并退回有关资料。</w:t>
      </w:r>
    </w:p>
    <w:p w14:paraId="5B43315D">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第十四条 </w:t>
      </w:r>
      <w:r>
        <w:rPr>
          <w:rFonts w:hint="eastAsia" w:ascii="宋体" w:hAnsi="宋体" w:eastAsia="宋体" w:cs="宋体"/>
          <w:b/>
          <w:bCs/>
          <w:color w:val="auto"/>
          <w:sz w:val="24"/>
          <w:szCs w:val="24"/>
          <w:highlight w:val="none"/>
        </w:rPr>
        <w:t>合同组成的文件</w:t>
      </w:r>
    </w:p>
    <w:p w14:paraId="7815FD3D">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组成本合同的文件包括：</w:t>
      </w:r>
    </w:p>
    <w:p w14:paraId="03CDD3D8">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1.本合同协议书</w:t>
      </w:r>
    </w:p>
    <w:p w14:paraId="3D7076BC">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0253ED65">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w:t>
      </w:r>
    </w:p>
    <w:p w14:paraId="28851F74">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4.公开招标采购文件</w:t>
      </w:r>
    </w:p>
    <w:p w14:paraId="51F469B5">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5.标准、规范及有关技术文件</w:t>
      </w:r>
    </w:p>
    <w:p w14:paraId="12AAE8C4">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6.其他补充协议</w:t>
      </w:r>
    </w:p>
    <w:p w14:paraId="25F713D6">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在合同履行过程中形成的与合同有关的文件均构成合同文件组成部分。</w:t>
      </w:r>
    </w:p>
    <w:p w14:paraId="304657D3">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第十五条 </w:t>
      </w:r>
      <w:r>
        <w:rPr>
          <w:rFonts w:hint="eastAsia" w:ascii="宋体" w:hAnsi="宋体" w:eastAsia="宋体" w:cs="宋体"/>
          <w:color w:val="auto"/>
          <w:sz w:val="24"/>
          <w:szCs w:val="24"/>
          <w:highlight w:val="none"/>
        </w:rPr>
        <w:t>由于不可抗力因素致使合同无法履行时，双方应及时协商解决。</w:t>
      </w:r>
    </w:p>
    <w:p w14:paraId="77AF3361">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本条前款所指不可抗力包括因战争、动乱或其它非甲乙方责任造成的爆炸、火灾及其它不能预见、不能避免并不能克服的客观情况。</w:t>
      </w:r>
    </w:p>
    <w:p w14:paraId="58DEDF2D">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第十六条 </w:t>
      </w:r>
      <w:r>
        <w:rPr>
          <w:rFonts w:hint="eastAsia" w:ascii="宋体" w:hAnsi="宋体" w:eastAsia="宋体" w:cs="宋体"/>
          <w:color w:val="auto"/>
          <w:sz w:val="24"/>
          <w:szCs w:val="24"/>
          <w:highlight w:val="none"/>
        </w:rPr>
        <w:t>未尽事宜由双方协商签订补充协议。补充协议与本合同具同等法律效力。</w:t>
      </w:r>
    </w:p>
    <w:p w14:paraId="43B15DE4">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第十七条 </w:t>
      </w:r>
      <w:r>
        <w:rPr>
          <w:rFonts w:hint="eastAsia" w:ascii="宋体" w:hAnsi="宋体" w:eastAsia="宋体" w:cs="宋体"/>
          <w:color w:val="auto"/>
          <w:sz w:val="24"/>
          <w:szCs w:val="24"/>
          <w:highlight w:val="none"/>
        </w:rPr>
        <w:t>本合同自双方签订之日起生效。</w:t>
      </w:r>
    </w:p>
    <w:p w14:paraId="29E8E074">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第十八条 </w:t>
      </w:r>
      <w:r>
        <w:rPr>
          <w:rFonts w:hint="eastAsia" w:ascii="宋体" w:hAnsi="宋体" w:eastAsia="宋体" w:cs="宋体"/>
          <w:color w:val="auto"/>
          <w:sz w:val="24"/>
          <w:szCs w:val="24"/>
          <w:highlight w:val="none"/>
          <w:lang w:val="en-US" w:eastAsia="zh-CN"/>
        </w:rPr>
        <w:t>本合同一式陆份，甲乙双方各执三份</w:t>
      </w:r>
    </w:p>
    <w:p w14:paraId="375306D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w:t>
      </w:r>
    </w:p>
    <w:tbl>
      <w:tblPr>
        <w:tblStyle w:val="27"/>
        <w:tblW w:w="0" w:type="auto"/>
        <w:tblInd w:w="0" w:type="dxa"/>
        <w:tblLayout w:type="fixed"/>
        <w:tblCellMar>
          <w:top w:w="0" w:type="dxa"/>
          <w:left w:w="108" w:type="dxa"/>
          <w:bottom w:w="0" w:type="dxa"/>
          <w:right w:w="108" w:type="dxa"/>
        </w:tblCellMar>
      </w:tblPr>
      <w:tblGrid>
        <w:gridCol w:w="4261"/>
        <w:gridCol w:w="4261"/>
      </w:tblGrid>
      <w:tr w14:paraId="5DF0F3B7">
        <w:tblPrEx>
          <w:tblCellMar>
            <w:top w:w="0" w:type="dxa"/>
            <w:left w:w="108" w:type="dxa"/>
            <w:bottom w:w="0" w:type="dxa"/>
            <w:right w:w="108" w:type="dxa"/>
          </w:tblCellMar>
        </w:tblPrEx>
        <w:tc>
          <w:tcPr>
            <w:tcW w:w="4261" w:type="dxa"/>
            <w:noWrap w:val="0"/>
            <w:vAlign w:val="top"/>
          </w:tcPr>
          <w:p w14:paraId="32155F2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w:t>
            </w:r>
          </w:p>
          <w:p w14:paraId="27C13B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52D96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或授权代理人（签字或盖章）：</w:t>
            </w:r>
          </w:p>
          <w:p w14:paraId="1D63B4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1C10E4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1CD5BF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016A8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p w14:paraId="7B5595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p w14:paraId="2206CF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见证方（代理机构）：</w:t>
            </w:r>
          </w:p>
          <w:p w14:paraId="7521D0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法定代表人或委托代理人（签章）：    日期：</w:t>
            </w:r>
          </w:p>
        </w:tc>
        <w:tc>
          <w:tcPr>
            <w:tcW w:w="4261" w:type="dxa"/>
            <w:noWrap w:val="0"/>
            <w:vAlign w:val="top"/>
          </w:tcPr>
          <w:p w14:paraId="0936D35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乙方：（公章）</w:t>
            </w:r>
          </w:p>
          <w:p w14:paraId="4D0046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10230F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或授权代理人（签字或盖章）：</w:t>
            </w:r>
          </w:p>
          <w:p w14:paraId="2CD41C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091FC15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22EC5F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统一社会信用代码（税号）：</w:t>
            </w:r>
          </w:p>
          <w:p w14:paraId="749930C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44AC09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p w14:paraId="0E4C3D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p>
          <w:p w14:paraId="5037F1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rPr>
            </w:pPr>
          </w:p>
        </w:tc>
      </w:tr>
    </w:tbl>
    <w:p w14:paraId="4E1C0DB5">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98B51EA">
      <w:pPr>
        <w:pStyle w:val="12"/>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0"/>
    </w:p>
    <w:p w14:paraId="066C0AB7">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268C7461">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1298965A">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7AB37132">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1CE568F8">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40D65DD5">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401F434">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7C4B1807">
      <w:pPr>
        <w:pStyle w:val="3"/>
        <w:shd w:val="clear" w:color="auto" w:fill="auto"/>
        <w:wordWrap w:val="0"/>
        <w:spacing w:before="0" w:after="0" w:line="360" w:lineRule="auto"/>
        <w:rPr>
          <w:rFonts w:hint="eastAsia" w:ascii="宋体" w:hAnsi="宋体" w:eastAsia="宋体" w:cs="宋体"/>
          <w:color w:val="auto"/>
          <w:highlight w:val="none"/>
        </w:rPr>
      </w:pPr>
      <w:bookmarkStart w:id="41" w:name="_Toc30408914"/>
      <w:bookmarkStart w:id="42" w:name="_Toc24550049"/>
    </w:p>
    <w:p w14:paraId="607AAFF5">
      <w:pPr>
        <w:pStyle w:val="3"/>
        <w:shd w:val="clear" w:color="auto" w:fill="auto"/>
        <w:wordWrap w:val="0"/>
        <w:spacing w:before="0" w:after="0" w:line="360" w:lineRule="auto"/>
        <w:rPr>
          <w:rFonts w:hint="eastAsia" w:ascii="宋体" w:hAnsi="宋体" w:eastAsia="宋体" w:cs="宋体"/>
          <w:color w:val="auto"/>
          <w:highlight w:val="none"/>
        </w:rPr>
      </w:pPr>
    </w:p>
    <w:p w14:paraId="62423869">
      <w:pPr>
        <w:pStyle w:val="3"/>
        <w:shd w:val="clear" w:color="auto" w:fill="auto"/>
        <w:wordWrap w:val="0"/>
        <w:spacing w:before="0" w:after="0" w:line="360" w:lineRule="auto"/>
        <w:rPr>
          <w:rFonts w:hint="eastAsia" w:ascii="宋体" w:hAnsi="宋体" w:eastAsia="宋体" w:cs="宋体"/>
          <w:color w:val="auto"/>
          <w:highlight w:val="none"/>
        </w:rPr>
      </w:pPr>
    </w:p>
    <w:p w14:paraId="5F337E5C">
      <w:pPr>
        <w:pStyle w:val="3"/>
        <w:shd w:val="clear" w:color="auto" w:fill="auto"/>
        <w:wordWrap w:val="0"/>
        <w:spacing w:before="0" w:after="0" w:line="360" w:lineRule="auto"/>
        <w:rPr>
          <w:rFonts w:hint="eastAsia" w:ascii="宋体" w:hAnsi="宋体" w:eastAsia="宋体" w:cs="宋体"/>
          <w:color w:val="auto"/>
          <w:highlight w:val="none"/>
        </w:rPr>
      </w:pPr>
    </w:p>
    <w:p w14:paraId="2F7506C6">
      <w:pPr>
        <w:pStyle w:val="3"/>
        <w:shd w:val="clear" w:color="auto" w:fill="auto"/>
        <w:wordWrap w:val="0"/>
        <w:spacing w:before="0" w:after="0" w:line="360" w:lineRule="auto"/>
        <w:rPr>
          <w:rFonts w:hint="eastAsia" w:ascii="宋体" w:hAnsi="宋体" w:eastAsia="宋体" w:cs="宋体"/>
          <w:color w:val="auto"/>
          <w:highlight w:val="none"/>
        </w:rPr>
      </w:pPr>
    </w:p>
    <w:p w14:paraId="2B25A6A3">
      <w:pPr>
        <w:shd w:val="clear" w:color="auto" w:fill="auto"/>
        <w:wordWrap w:val="0"/>
        <w:spacing w:line="360" w:lineRule="auto"/>
        <w:rPr>
          <w:rFonts w:hint="eastAsia" w:ascii="宋体" w:hAnsi="宋体" w:eastAsia="宋体" w:cs="宋体"/>
          <w:color w:val="auto"/>
          <w:highlight w:val="none"/>
        </w:rPr>
      </w:pPr>
    </w:p>
    <w:p w14:paraId="77E32962">
      <w:pPr>
        <w:pStyle w:val="48"/>
        <w:shd w:val="clear" w:color="auto" w:fill="auto"/>
        <w:wordWrap w:val="0"/>
        <w:spacing w:line="360" w:lineRule="auto"/>
        <w:rPr>
          <w:rFonts w:hint="eastAsia" w:ascii="宋体" w:hAnsi="宋体" w:eastAsia="宋体" w:cs="宋体"/>
          <w:color w:val="auto"/>
          <w:highlight w:val="none"/>
        </w:rPr>
      </w:pPr>
    </w:p>
    <w:p w14:paraId="42C1B55A">
      <w:pPr>
        <w:pStyle w:val="9"/>
        <w:shd w:val="clear" w:color="auto" w:fill="auto"/>
        <w:wordWrap w:val="0"/>
        <w:spacing w:line="360" w:lineRule="auto"/>
        <w:rPr>
          <w:rFonts w:hint="eastAsia" w:ascii="宋体" w:hAnsi="宋体" w:eastAsia="宋体" w:cs="宋体"/>
          <w:color w:val="auto"/>
          <w:highlight w:val="none"/>
        </w:rPr>
      </w:pPr>
    </w:p>
    <w:p w14:paraId="59C30F21">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3" w:name="_Toc6691"/>
      <w:bookmarkStart w:id="44" w:name="_Toc27639"/>
      <w:bookmarkStart w:id="45" w:name="_Toc26323"/>
      <w:r>
        <w:rPr>
          <w:rFonts w:hint="eastAsia" w:ascii="宋体" w:hAnsi="宋体" w:eastAsia="宋体" w:cs="宋体"/>
          <w:color w:val="auto"/>
          <w:highlight w:val="none"/>
        </w:rPr>
        <w:t>一、“资格文件”格式</w:t>
      </w:r>
      <w:bookmarkEnd w:id="41"/>
      <w:bookmarkEnd w:id="42"/>
      <w:bookmarkEnd w:id="43"/>
      <w:bookmarkEnd w:id="44"/>
      <w:bookmarkEnd w:id="45"/>
    </w:p>
    <w:p w14:paraId="37D7F6BD">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BC9FBA7">
      <w:pPr>
        <w:shd w:val="clear" w:color="auto" w:fill="auto"/>
        <w:wordWrap w:val="0"/>
        <w:spacing w:line="360" w:lineRule="auto"/>
        <w:jc w:val="right"/>
        <w:rPr>
          <w:rFonts w:hint="eastAsia" w:ascii="宋体" w:hAnsi="宋体" w:eastAsia="宋体" w:cs="宋体"/>
          <w:b/>
          <w:color w:val="auto"/>
          <w:sz w:val="32"/>
          <w:szCs w:val="22"/>
          <w:highlight w:val="none"/>
        </w:rPr>
      </w:pPr>
    </w:p>
    <w:p w14:paraId="27B734A9">
      <w:pPr>
        <w:pStyle w:val="48"/>
        <w:shd w:val="clear" w:color="auto" w:fill="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平阳站前片区城市设计、控制性详细规划服务</w:t>
      </w:r>
    </w:p>
    <w:p w14:paraId="34F760D8">
      <w:pPr>
        <w:shd w:val="clear" w:color="auto" w:fill="auto"/>
        <w:wordWrap w:val="0"/>
        <w:spacing w:line="360" w:lineRule="auto"/>
        <w:jc w:val="center"/>
        <w:rPr>
          <w:rFonts w:hint="eastAsia" w:ascii="宋体" w:hAnsi="宋体" w:eastAsia="宋体" w:cs="宋体"/>
          <w:b/>
          <w:color w:val="auto"/>
          <w:sz w:val="52"/>
          <w:szCs w:val="22"/>
          <w:highlight w:val="none"/>
        </w:rPr>
      </w:pPr>
    </w:p>
    <w:p w14:paraId="234A530D">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0ACB1EB1">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0C404C5">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49984B72">
        <w:tblPrEx>
          <w:tblCellMar>
            <w:top w:w="0" w:type="dxa"/>
            <w:left w:w="108" w:type="dxa"/>
            <w:bottom w:w="0" w:type="dxa"/>
            <w:right w:w="108" w:type="dxa"/>
          </w:tblCellMar>
        </w:tblPrEx>
        <w:trPr>
          <w:trHeight w:val="680" w:hRule="atLeast"/>
        </w:trPr>
        <w:tc>
          <w:tcPr>
            <w:tcW w:w="8789" w:type="dxa"/>
            <w:noWrap w:val="0"/>
            <w:vAlign w:val="center"/>
          </w:tcPr>
          <w:p w14:paraId="1EFD6D1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PYCG250902093</w:t>
            </w:r>
            <w:r>
              <w:rPr>
                <w:rFonts w:hint="eastAsia" w:ascii="宋体" w:hAnsi="宋体" w:eastAsia="宋体" w:cs="宋体"/>
                <w:b/>
                <w:color w:val="auto"/>
                <w:sz w:val="28"/>
                <w:szCs w:val="28"/>
                <w:highlight w:val="none"/>
              </w:rPr>
              <w:t xml:space="preserve">   </w:t>
            </w:r>
          </w:p>
        </w:tc>
      </w:tr>
      <w:tr w14:paraId="7B2F052D">
        <w:tblPrEx>
          <w:tblCellMar>
            <w:top w:w="0" w:type="dxa"/>
            <w:left w:w="108" w:type="dxa"/>
            <w:bottom w:w="0" w:type="dxa"/>
            <w:right w:w="108" w:type="dxa"/>
          </w:tblCellMar>
        </w:tblPrEx>
        <w:trPr>
          <w:trHeight w:val="680" w:hRule="atLeast"/>
        </w:trPr>
        <w:tc>
          <w:tcPr>
            <w:tcW w:w="8789" w:type="dxa"/>
            <w:noWrap w:val="0"/>
            <w:vAlign w:val="center"/>
          </w:tcPr>
          <w:p w14:paraId="67E9A6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790AE7A">
        <w:tblPrEx>
          <w:tblCellMar>
            <w:top w:w="0" w:type="dxa"/>
            <w:left w:w="108" w:type="dxa"/>
            <w:bottom w:w="0" w:type="dxa"/>
            <w:right w:w="108" w:type="dxa"/>
          </w:tblCellMar>
        </w:tblPrEx>
        <w:trPr>
          <w:trHeight w:val="680" w:hRule="atLeast"/>
        </w:trPr>
        <w:tc>
          <w:tcPr>
            <w:tcW w:w="8789" w:type="dxa"/>
            <w:noWrap w:val="0"/>
            <w:vAlign w:val="center"/>
          </w:tcPr>
          <w:p w14:paraId="78DD448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CB5AC79">
        <w:tblPrEx>
          <w:tblCellMar>
            <w:top w:w="0" w:type="dxa"/>
            <w:left w:w="108" w:type="dxa"/>
            <w:bottom w:w="0" w:type="dxa"/>
            <w:right w:w="108" w:type="dxa"/>
          </w:tblCellMar>
        </w:tblPrEx>
        <w:trPr>
          <w:trHeight w:val="680" w:hRule="atLeast"/>
        </w:trPr>
        <w:tc>
          <w:tcPr>
            <w:tcW w:w="8789" w:type="dxa"/>
            <w:noWrap w:val="0"/>
            <w:vAlign w:val="center"/>
          </w:tcPr>
          <w:p w14:paraId="04C917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2B0D2A8">
        <w:tblPrEx>
          <w:tblCellMar>
            <w:top w:w="0" w:type="dxa"/>
            <w:left w:w="108" w:type="dxa"/>
            <w:bottom w:w="0" w:type="dxa"/>
            <w:right w:w="108" w:type="dxa"/>
          </w:tblCellMar>
        </w:tblPrEx>
        <w:trPr>
          <w:trHeight w:val="680" w:hRule="atLeast"/>
        </w:trPr>
        <w:tc>
          <w:tcPr>
            <w:tcW w:w="8789" w:type="dxa"/>
            <w:noWrap w:val="0"/>
            <w:vAlign w:val="center"/>
          </w:tcPr>
          <w:p w14:paraId="5B6BBB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594B9ECE">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76E43412">
      <w:pPr>
        <w:shd w:val="clear" w:color="auto" w:fill="auto"/>
        <w:wordWrap w:val="0"/>
        <w:spacing w:line="360" w:lineRule="auto"/>
        <w:jc w:val="center"/>
        <w:rPr>
          <w:rFonts w:hint="eastAsia" w:ascii="宋体" w:hAnsi="宋体" w:eastAsia="宋体" w:cs="宋体"/>
          <w:b/>
          <w:color w:val="auto"/>
          <w:sz w:val="44"/>
          <w:szCs w:val="44"/>
          <w:highlight w:val="none"/>
        </w:rPr>
      </w:pPr>
    </w:p>
    <w:p w14:paraId="2E825E02">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012FA490">
      <w:pPr>
        <w:shd w:val="clear" w:color="auto" w:fill="auto"/>
        <w:wordWrap w:val="0"/>
        <w:spacing w:line="360" w:lineRule="auto"/>
        <w:rPr>
          <w:rFonts w:hint="eastAsia" w:ascii="宋体" w:hAnsi="宋体" w:eastAsia="宋体" w:cs="宋体"/>
          <w:color w:val="auto"/>
          <w:highlight w:val="none"/>
        </w:rPr>
      </w:pPr>
    </w:p>
    <w:p w14:paraId="38BDA8C2">
      <w:pPr>
        <w:shd w:val="clear" w:color="auto" w:fill="auto"/>
        <w:wordWrap w:val="0"/>
        <w:spacing w:line="360" w:lineRule="auto"/>
        <w:rPr>
          <w:rFonts w:hint="eastAsia" w:ascii="宋体" w:hAnsi="宋体" w:eastAsia="宋体" w:cs="宋体"/>
          <w:b/>
          <w:color w:val="auto"/>
          <w:w w:val="90"/>
          <w:sz w:val="22"/>
          <w:szCs w:val="22"/>
          <w:highlight w:val="none"/>
          <w:u w:val="single"/>
        </w:rPr>
      </w:pPr>
    </w:p>
    <w:p w14:paraId="2EBD0E6A">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平阳县城市建设投资有限公司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1ADA6108">
      <w:pPr>
        <w:shd w:val="clear" w:color="auto" w:fill="auto"/>
        <w:wordWrap w:val="0"/>
        <w:spacing w:line="360" w:lineRule="auto"/>
        <w:rPr>
          <w:rFonts w:hint="eastAsia" w:ascii="宋体" w:hAnsi="宋体" w:eastAsia="宋体" w:cs="宋体"/>
          <w:color w:val="auto"/>
          <w:sz w:val="22"/>
          <w:szCs w:val="22"/>
          <w:highlight w:val="none"/>
        </w:rPr>
      </w:pPr>
    </w:p>
    <w:p w14:paraId="56D2A2B0">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平阳站前片区城市设计、控制性详细规划服务</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PYCG250902093</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E9737D8">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72B41C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06E8AB21">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36E057C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39B72464">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5C8D547">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3C61A957">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14BBCBE8">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121BEFD4">
      <w:pPr>
        <w:shd w:val="clear" w:color="auto" w:fill="auto"/>
        <w:wordWrap w:val="0"/>
        <w:spacing w:line="360" w:lineRule="auto"/>
        <w:rPr>
          <w:rFonts w:hint="eastAsia" w:ascii="宋体" w:hAnsi="宋体" w:eastAsia="宋体" w:cs="宋体"/>
          <w:color w:val="auto"/>
          <w:highlight w:val="none"/>
        </w:rPr>
      </w:pPr>
    </w:p>
    <w:p w14:paraId="30113820">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0F6137D8">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FFE355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9C673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2B74B25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3B5682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298ECF5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1AC18B6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6E5AAFEB">
            <w:pPr>
              <w:pStyle w:val="19"/>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14:paraId="48DA6999">
      <w:pPr>
        <w:shd w:val="clear" w:color="auto" w:fill="auto"/>
        <w:wordWrap w:val="0"/>
        <w:spacing w:line="360" w:lineRule="auto"/>
        <w:rPr>
          <w:rFonts w:hint="eastAsia" w:ascii="宋体" w:hAnsi="宋体" w:eastAsia="宋体" w:cs="宋体"/>
          <w:i/>
          <w:color w:val="auto"/>
          <w:sz w:val="22"/>
          <w:szCs w:val="22"/>
          <w:highlight w:val="none"/>
        </w:rPr>
      </w:pPr>
    </w:p>
    <w:p w14:paraId="1C7A1B8B">
      <w:pPr>
        <w:pStyle w:val="5"/>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4C21A9BC">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5AB26679">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553C847F">
      <w:pPr>
        <w:pStyle w:val="9"/>
        <w:shd w:val="clear" w:color="auto" w:fill="auto"/>
        <w:spacing w:line="360" w:lineRule="auto"/>
        <w:rPr>
          <w:rFonts w:hint="eastAsia" w:ascii="宋体" w:hAnsi="宋体" w:eastAsia="宋体" w:cs="宋体"/>
          <w:color w:val="auto"/>
          <w:sz w:val="22"/>
          <w:szCs w:val="22"/>
          <w:highlight w:val="none"/>
        </w:rPr>
      </w:pPr>
    </w:p>
    <w:p w14:paraId="166FDF03">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43C2A9E8">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17068442">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5B0559EF">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4535E99A">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FF54C19">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D9F67D5">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76CD3DDA">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3372F40B">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14464C97">
      <w:pPr>
        <w:pStyle w:val="23"/>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5F701862">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F921A72">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8AF27A4">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298122CA">
      <w:pPr>
        <w:pStyle w:val="5"/>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0124195A">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45AF6450">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14:paraId="35891AAC">
      <w:pPr>
        <w:widowControl/>
        <w:shd w:val="clear" w:color="auto" w:fill="auto"/>
        <w:snapToGrid w:val="0"/>
        <w:spacing w:line="360" w:lineRule="auto"/>
        <w:jc w:val="left"/>
        <w:rPr>
          <w:rFonts w:hint="eastAsia" w:ascii="宋体" w:hAnsi="宋体" w:eastAsia="宋体" w:cs="宋体"/>
          <w:color w:val="auto"/>
          <w:highlight w:val="none"/>
          <w:u w:val="single"/>
        </w:rPr>
      </w:pPr>
    </w:p>
    <w:p w14:paraId="3EB60958">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平阳县城市建设投资有限公司</w:t>
      </w:r>
      <w:r>
        <w:rPr>
          <w:rFonts w:hint="eastAsia" w:ascii="宋体" w:hAnsi="宋体" w:eastAsia="宋体" w:cs="宋体"/>
          <w:color w:val="auto"/>
          <w:sz w:val="22"/>
          <w:szCs w:val="22"/>
          <w:highlight w:val="none"/>
          <w:lang w:eastAsia="zh-CN"/>
        </w:rPr>
        <w:t>：</w:t>
      </w:r>
    </w:p>
    <w:p w14:paraId="1D1E55A8">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54FB59C5">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7EF0A4FE">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14:paraId="65FD8F2C">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72F3949">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D1297A8">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90E1CDE">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0AB842A">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77F6034">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1964F2A2">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167793A9">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3D8D994C">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7"/>
        <w:tblW w:w="0" w:type="auto"/>
        <w:tblInd w:w="108" w:type="dxa"/>
        <w:tblLayout w:type="fixed"/>
        <w:tblCellMar>
          <w:top w:w="0" w:type="dxa"/>
          <w:left w:w="0" w:type="dxa"/>
          <w:bottom w:w="0" w:type="dxa"/>
          <w:right w:w="0" w:type="dxa"/>
        </w:tblCellMar>
      </w:tblPr>
      <w:tblGrid>
        <w:gridCol w:w="8657"/>
      </w:tblGrid>
      <w:tr w14:paraId="56DC8E03">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6EC709">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222D483">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2BDF119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3A00241A">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6544E52">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3B4063D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D36F03C">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7BEAABF7">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720503A7">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5D627EA3">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7AE1DDDC">
      <w:pPr>
        <w:pStyle w:val="5"/>
        <w:shd w:val="clear" w:color="auto" w:fill="auto"/>
        <w:spacing w:before="0" w:after="0"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1.6联合体协议书</w:t>
      </w:r>
    </w:p>
    <w:p w14:paraId="1F013D15">
      <w:pPr>
        <w:pageBreakBefore w:val="0"/>
        <w:widowControl w:val="0"/>
        <w:kinsoku/>
        <w:wordWrap w:val="0"/>
        <w:topLinePunct w:val="0"/>
        <w:bidi w:val="0"/>
        <w:snapToGrid w:val="0"/>
        <w:spacing w:line="360" w:lineRule="auto"/>
        <w:jc w:val="center"/>
        <w:rPr>
          <w:rFonts w:hint="eastAsia" w:ascii="宋体" w:hAnsi="宋体" w:eastAsia="宋体" w:cs="宋体"/>
          <w:b/>
          <w:color w:val="auto"/>
          <w:kern w:val="2"/>
          <w:sz w:val="24"/>
          <w:highlight w:val="none"/>
          <w:lang w:val="en-US" w:eastAsia="zh-CN" w:bidi="ar-SA"/>
        </w:rPr>
      </w:pPr>
      <w:bookmarkStart w:id="46" w:name="_Toc817"/>
      <w:bookmarkStart w:id="47" w:name="_Toc13445"/>
      <w:bookmarkStart w:id="48" w:name="_Toc28966"/>
      <w:r>
        <w:rPr>
          <w:rFonts w:hint="eastAsia" w:ascii="宋体" w:hAnsi="宋体" w:eastAsia="宋体" w:cs="宋体"/>
          <w:b/>
          <w:color w:val="auto"/>
          <w:kern w:val="2"/>
          <w:sz w:val="24"/>
          <w:highlight w:val="none"/>
          <w:lang w:val="en-US" w:eastAsia="zh-CN" w:bidi="ar-SA"/>
        </w:rPr>
        <w:t>联合体协议书</w:t>
      </w:r>
    </w:p>
    <w:p w14:paraId="7C22BDFC">
      <w:pPr>
        <w:pageBreakBefore w:val="0"/>
        <w:widowControl w:val="0"/>
        <w:kinsoku/>
        <w:wordWrap w:val="0"/>
        <w:topLinePunct w:val="0"/>
        <w:bidi w:val="0"/>
        <w:snapToGrid w:val="0"/>
        <w:spacing w:line="360" w:lineRule="auto"/>
        <w:jc w:val="both"/>
        <w:rPr>
          <w:rFonts w:hint="eastAsia" w:ascii="宋体" w:hAnsi="宋体" w:eastAsia="宋体" w:cs="宋体"/>
          <w:b/>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采购人：</w:t>
      </w:r>
      <w:r>
        <w:rPr>
          <w:rFonts w:hint="eastAsia" w:ascii="宋体" w:hAnsi="宋体" w:eastAsia="宋体" w:cs="宋体"/>
          <w:bCs/>
          <w:color w:val="auto"/>
          <w:kern w:val="2"/>
          <w:sz w:val="24"/>
          <w:highlight w:val="none"/>
          <w:u w:val="single"/>
          <w:lang w:val="en-US" w:eastAsia="zh-CN" w:bidi="ar-SA"/>
        </w:rPr>
        <w:t xml:space="preserve">  （采购人）   </w:t>
      </w:r>
    </w:p>
    <w:p w14:paraId="097C6EF8">
      <w:pPr>
        <w:pageBreakBefore w:val="0"/>
        <w:widowControl w:val="0"/>
        <w:kinsoku/>
        <w:wordWrap w:val="0"/>
        <w:topLinePunct w:val="0"/>
        <w:bidi w:val="0"/>
        <w:snapToGrid w:val="0"/>
        <w:spacing w:line="360" w:lineRule="auto"/>
        <w:ind w:firstLine="480" w:firstLineChars="20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各方经协商，就响应</w:t>
      </w:r>
      <w:r>
        <w:rPr>
          <w:rFonts w:hint="eastAsia" w:ascii="宋体" w:hAnsi="宋体" w:eastAsia="宋体" w:cs="宋体"/>
          <w:bCs/>
          <w:color w:val="auto"/>
          <w:kern w:val="2"/>
          <w:sz w:val="24"/>
          <w:highlight w:val="none"/>
          <w:u w:val="single"/>
          <w:lang w:val="en-US" w:eastAsia="zh-CN" w:bidi="ar-SA"/>
        </w:rPr>
        <w:t xml:space="preserve">  （采购人）   </w:t>
      </w:r>
      <w:r>
        <w:rPr>
          <w:rFonts w:hint="eastAsia" w:ascii="宋体" w:hAnsi="宋体" w:eastAsia="宋体" w:cs="宋体"/>
          <w:bCs/>
          <w:color w:val="auto"/>
          <w:kern w:val="2"/>
          <w:sz w:val="24"/>
          <w:highlight w:val="none"/>
          <w:lang w:val="en-US" w:eastAsia="zh-CN" w:bidi="ar-SA"/>
        </w:rPr>
        <w:t>组织实施的</w:t>
      </w:r>
      <w:r>
        <w:rPr>
          <w:rFonts w:hint="eastAsia" w:ascii="宋体" w:hAnsi="宋体" w:eastAsia="宋体" w:cs="宋体"/>
          <w:bCs/>
          <w:color w:val="auto"/>
          <w:kern w:val="2"/>
          <w:sz w:val="24"/>
          <w:highlight w:val="none"/>
          <w:u w:val="single"/>
          <w:lang w:val="en-US" w:eastAsia="zh-CN" w:bidi="ar-SA"/>
        </w:rPr>
        <w:t xml:space="preserve">（项目名称）          （项目编号        </w:t>
      </w:r>
      <w:r>
        <w:rPr>
          <w:rFonts w:hint="eastAsia" w:ascii="宋体" w:hAnsi="宋体" w:eastAsia="宋体" w:cs="宋体"/>
          <w:bCs/>
          <w:color w:val="auto"/>
          <w:kern w:val="2"/>
          <w:sz w:val="24"/>
          <w:highlight w:val="none"/>
          <w:lang w:val="en-US" w:eastAsia="zh-CN" w:bidi="ar-SA"/>
        </w:rPr>
        <w:t>）的采购活动联合参与采购之事宜，达成如下协议：</w:t>
      </w:r>
    </w:p>
    <w:p w14:paraId="6C97AD50">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一、各方一致决定，以</w:t>
      </w:r>
      <w:r>
        <w:rPr>
          <w:rFonts w:hint="eastAsia" w:ascii="宋体" w:hAnsi="宋体" w:eastAsia="宋体" w:cs="宋体"/>
          <w:bCs/>
          <w:color w:val="auto"/>
          <w:kern w:val="2"/>
          <w:sz w:val="24"/>
          <w:highlight w:val="none"/>
          <w:u w:val="single"/>
          <w:lang w:val="en-US" w:eastAsia="zh-CN" w:bidi="ar-SA"/>
        </w:rPr>
        <w:t xml:space="preserve">      （牵头人名称）        </w:t>
      </w:r>
      <w:r>
        <w:rPr>
          <w:rFonts w:hint="eastAsia" w:ascii="宋体" w:hAnsi="宋体" w:eastAsia="宋体" w:cs="宋体"/>
          <w:bCs/>
          <w:color w:val="auto"/>
          <w:kern w:val="2"/>
          <w:sz w:val="24"/>
          <w:highlight w:val="none"/>
          <w:lang w:val="en-US" w:eastAsia="zh-CN" w:bidi="ar-SA"/>
        </w:rPr>
        <w:t>为牵头人进行采购活动，并按照公开采购文件的规定提交采购响应文件。</w:t>
      </w:r>
    </w:p>
    <w:p w14:paraId="0C0B71DA">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二、在本次采购过程中，牵头人的</w:t>
      </w:r>
      <w:r>
        <w:rPr>
          <w:rFonts w:hint="eastAsia" w:ascii="宋体" w:hAnsi="宋体" w:eastAsia="宋体" w:cs="宋体"/>
          <w:bCs/>
          <w:color w:val="auto"/>
          <w:kern w:val="2"/>
          <w:sz w:val="24"/>
          <w:highlight w:val="none"/>
          <w:u w:val="single"/>
          <w:lang w:val="en-US" w:eastAsia="zh-CN" w:bidi="ar-SA"/>
        </w:rPr>
        <w:t>（法定代表人或委托代理人）</w:t>
      </w:r>
      <w:r>
        <w:rPr>
          <w:rFonts w:hint="eastAsia" w:ascii="宋体" w:hAnsi="宋体" w:eastAsia="宋体" w:cs="宋体"/>
          <w:bCs/>
          <w:color w:val="auto"/>
          <w:kern w:val="2"/>
          <w:sz w:val="24"/>
          <w:highlight w:val="none"/>
          <w:lang w:val="en-US" w:eastAsia="zh-CN" w:bidi="ar-SA"/>
        </w:rPr>
        <w:t>根据公开招标采购文件规定及采购内容而对采购人所作的任何合法承诺，包括书面澄清及响应等均对联合体各方产生约束力。如果中标（或成交）并签订合同，则联合体各方将共同履行对采购人所负有的全部义务并就采购合同约定的事项对采购人承担连带责任。</w:t>
      </w:r>
    </w:p>
    <w:p w14:paraId="4EBC0188">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三、联合体其余各方保证对牵头人为响应本次采购而提供的产品和服务提供全部质量保证及售后服务支持。</w:t>
      </w:r>
    </w:p>
    <w:p w14:paraId="64A8199B">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四、本次联合体中</w:t>
      </w:r>
    </w:p>
    <w:p w14:paraId="00F32551">
      <w:pPr>
        <w:pageBreakBefore w:val="0"/>
        <w:widowControl w:val="0"/>
        <w:kinsoku/>
        <w:wordWrap w:val="0"/>
        <w:topLinePunct w:val="0"/>
        <w:bidi w:val="0"/>
        <w:snapToGrid w:val="0"/>
        <w:spacing w:line="360" w:lineRule="auto"/>
        <w:ind w:left="479" w:leftChars="228"/>
        <w:jc w:val="both"/>
        <w:rPr>
          <w:rFonts w:hint="eastAsia" w:ascii="宋体" w:hAnsi="宋体" w:eastAsia="宋体" w:cs="宋体"/>
          <w:bCs/>
          <w:color w:val="auto"/>
          <w:kern w:val="2"/>
          <w:sz w:val="24"/>
          <w:highlight w:val="none"/>
          <w:u w:val="single"/>
          <w:lang w:val="en-US" w:eastAsia="zh-CN" w:bidi="ar-SA"/>
        </w:rPr>
      </w:pPr>
      <w:r>
        <w:rPr>
          <w:rFonts w:hint="eastAsia" w:ascii="宋体" w:hAnsi="宋体" w:eastAsia="宋体" w:cs="宋体"/>
          <w:bCs/>
          <w:color w:val="auto"/>
          <w:kern w:val="2"/>
          <w:sz w:val="24"/>
          <w:highlight w:val="none"/>
          <w:u w:val="single"/>
          <w:lang w:val="en-US" w:eastAsia="zh-CN" w:bidi="ar-SA"/>
        </w:rPr>
        <w:t>联合体成员1</w:t>
      </w:r>
      <w:r>
        <w:rPr>
          <w:rFonts w:hint="eastAsia" w:ascii="宋体" w:hAnsi="宋体" w:eastAsia="宋体" w:cs="宋体"/>
          <w:bCs/>
          <w:color w:val="auto"/>
          <w:kern w:val="2"/>
          <w:sz w:val="24"/>
          <w:highlight w:val="none"/>
          <w:lang w:val="en-US" w:eastAsia="zh-CN" w:bidi="ar-SA"/>
        </w:rPr>
        <w:t>承担的工作和义务为：</w:t>
      </w:r>
      <w:r>
        <w:rPr>
          <w:rFonts w:hint="eastAsia" w:ascii="宋体" w:hAnsi="宋体" w:eastAsia="宋体" w:cs="宋体"/>
          <w:bCs/>
          <w:color w:val="auto"/>
          <w:kern w:val="2"/>
          <w:sz w:val="24"/>
          <w:highlight w:val="none"/>
          <w:u w:val="single"/>
          <w:lang w:val="en-US" w:eastAsia="zh-CN" w:bidi="ar-SA"/>
        </w:rPr>
        <w:t xml:space="preserve"> （工作内容及义务）；占比：（金额，百分比）</w:t>
      </w:r>
    </w:p>
    <w:p w14:paraId="306052AF">
      <w:pPr>
        <w:pageBreakBefore w:val="0"/>
        <w:widowControl w:val="0"/>
        <w:kinsoku/>
        <w:wordWrap w:val="0"/>
        <w:topLinePunct w:val="0"/>
        <w:bidi w:val="0"/>
        <w:snapToGrid w:val="0"/>
        <w:spacing w:line="360" w:lineRule="auto"/>
        <w:ind w:left="479" w:leftChars="228"/>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u w:val="single"/>
          <w:lang w:val="en-US" w:eastAsia="zh-CN" w:bidi="ar-SA"/>
        </w:rPr>
        <w:t>联合体成员2</w:t>
      </w:r>
      <w:r>
        <w:rPr>
          <w:rFonts w:hint="eastAsia" w:ascii="宋体" w:hAnsi="宋体" w:eastAsia="宋体" w:cs="宋体"/>
          <w:bCs/>
          <w:color w:val="auto"/>
          <w:kern w:val="2"/>
          <w:sz w:val="24"/>
          <w:highlight w:val="none"/>
          <w:lang w:val="en-US" w:eastAsia="zh-CN" w:bidi="ar-SA"/>
        </w:rPr>
        <w:t>承担的工作和义务为：</w:t>
      </w:r>
      <w:r>
        <w:rPr>
          <w:rFonts w:hint="eastAsia" w:ascii="宋体" w:hAnsi="宋体" w:eastAsia="宋体" w:cs="宋体"/>
          <w:bCs/>
          <w:color w:val="auto"/>
          <w:kern w:val="2"/>
          <w:sz w:val="24"/>
          <w:highlight w:val="none"/>
          <w:u w:val="single"/>
          <w:lang w:val="en-US" w:eastAsia="zh-CN" w:bidi="ar-SA"/>
        </w:rPr>
        <w:t xml:space="preserve"> （工作内容及义务）；占比：（金额，百分比）</w:t>
      </w:r>
    </w:p>
    <w:p w14:paraId="7700DF55">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u w:val="single"/>
          <w:lang w:val="en-US" w:eastAsia="zh-CN" w:bidi="ar-SA"/>
        </w:rPr>
      </w:pPr>
      <w:r>
        <w:rPr>
          <w:rFonts w:hint="eastAsia" w:ascii="宋体" w:hAnsi="宋体" w:eastAsia="宋体" w:cs="宋体"/>
          <w:bCs/>
          <w:color w:val="auto"/>
          <w:kern w:val="2"/>
          <w:sz w:val="24"/>
          <w:highlight w:val="none"/>
          <w:lang w:val="en-US" w:eastAsia="zh-CN" w:bidi="ar-SA"/>
        </w:rPr>
        <w:t>五、有关本次联合体的其他事宜：</w:t>
      </w:r>
      <w:r>
        <w:rPr>
          <w:rFonts w:hint="eastAsia" w:ascii="宋体" w:hAnsi="宋体" w:eastAsia="宋体" w:cs="宋体"/>
          <w:bCs/>
          <w:color w:val="auto"/>
          <w:kern w:val="2"/>
          <w:sz w:val="24"/>
          <w:highlight w:val="none"/>
          <w:u w:val="single"/>
          <w:lang w:val="en-US" w:eastAsia="zh-CN" w:bidi="ar-SA"/>
        </w:rPr>
        <w:t xml:space="preserve">                          </w:t>
      </w:r>
    </w:p>
    <w:p w14:paraId="04A3187A">
      <w:pPr>
        <w:pageBreakBefore w:val="0"/>
        <w:widowControl w:val="0"/>
        <w:kinsoku/>
        <w:wordWrap w:val="0"/>
        <w:topLinePunct w:val="0"/>
        <w:bidi w:val="0"/>
        <w:snapToGrid w:val="0"/>
        <w:spacing w:line="360" w:lineRule="auto"/>
        <w:ind w:firstLine="420"/>
        <w:jc w:val="both"/>
        <w:rPr>
          <w:rFonts w:hint="eastAsia" w:ascii="宋体" w:hAnsi="宋体" w:eastAsia="宋体" w:cs="宋体"/>
          <w:b/>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六、本协议提交后，联合体各方不得以任何形式对上述实质内容进行修改或撤销。</w:t>
      </w:r>
    </w:p>
    <w:p w14:paraId="69E5376C">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七、本协议一式</w:t>
      </w:r>
      <w:r>
        <w:rPr>
          <w:rFonts w:hint="eastAsia" w:ascii="宋体" w:hAnsi="宋体" w:eastAsia="宋体" w:cs="宋体"/>
          <w:bCs/>
          <w:color w:val="auto"/>
          <w:kern w:val="2"/>
          <w:sz w:val="24"/>
          <w:highlight w:val="none"/>
          <w:u w:val="single"/>
          <w:lang w:val="en-US" w:eastAsia="zh-CN" w:bidi="ar-SA"/>
        </w:rPr>
        <w:t xml:space="preserve">   </w:t>
      </w:r>
      <w:r>
        <w:rPr>
          <w:rFonts w:hint="eastAsia" w:ascii="宋体" w:hAnsi="宋体" w:eastAsia="宋体" w:cs="宋体"/>
          <w:bCs/>
          <w:color w:val="auto"/>
          <w:kern w:val="2"/>
          <w:sz w:val="24"/>
          <w:highlight w:val="none"/>
          <w:lang w:val="en-US" w:eastAsia="zh-CN" w:bidi="ar-SA"/>
        </w:rPr>
        <w:t>份，联合成员各一份。</w:t>
      </w:r>
    </w:p>
    <w:p w14:paraId="5EA3557E">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p>
    <w:p w14:paraId="50BEB979">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联合体成员1（盖章）：</w:t>
      </w:r>
    </w:p>
    <w:p w14:paraId="63AC2EED">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联合体成员1法定代表人或委托人（盖章）：</w:t>
      </w:r>
    </w:p>
    <w:p w14:paraId="4E02E36E">
      <w:pPr>
        <w:pageBreakBefore w:val="0"/>
        <w:kinsoku/>
        <w:wordWrap w:val="0"/>
        <w:topLinePunct w:val="0"/>
        <w:bidi w:val="0"/>
        <w:rPr>
          <w:rFonts w:hint="eastAsia" w:ascii="宋体" w:hAnsi="宋体" w:eastAsia="宋体" w:cs="宋体"/>
          <w:color w:val="auto"/>
          <w:kern w:val="0"/>
          <w:sz w:val="20"/>
          <w:szCs w:val="20"/>
          <w:highlight w:val="none"/>
        </w:rPr>
      </w:pPr>
    </w:p>
    <w:p w14:paraId="4EF70322">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联合体成员2（盖章）：</w:t>
      </w:r>
    </w:p>
    <w:p w14:paraId="3B3792B4">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r>
        <w:rPr>
          <w:rFonts w:hint="eastAsia" w:ascii="宋体" w:hAnsi="宋体" w:eastAsia="宋体" w:cs="宋体"/>
          <w:bCs/>
          <w:color w:val="auto"/>
          <w:kern w:val="2"/>
          <w:sz w:val="24"/>
          <w:highlight w:val="none"/>
          <w:lang w:val="en-US" w:eastAsia="zh-CN" w:bidi="ar-SA"/>
        </w:rPr>
        <w:t>联合体成员2法定代表人或委托人（盖章）：</w:t>
      </w:r>
    </w:p>
    <w:p w14:paraId="7AEA81ED">
      <w:pPr>
        <w:pageBreakBefore w:val="0"/>
        <w:widowControl w:val="0"/>
        <w:kinsoku/>
        <w:wordWrap w:val="0"/>
        <w:topLinePunct w:val="0"/>
        <w:bidi w:val="0"/>
        <w:snapToGrid w:val="0"/>
        <w:spacing w:line="360" w:lineRule="auto"/>
        <w:ind w:firstLine="420"/>
        <w:jc w:val="both"/>
        <w:rPr>
          <w:rFonts w:hint="eastAsia" w:ascii="宋体" w:hAnsi="宋体" w:eastAsia="宋体" w:cs="宋体"/>
          <w:bCs/>
          <w:color w:val="auto"/>
          <w:kern w:val="2"/>
          <w:sz w:val="24"/>
          <w:highlight w:val="none"/>
          <w:lang w:val="en-US" w:eastAsia="zh-CN" w:bidi="ar-SA"/>
        </w:rPr>
      </w:pPr>
    </w:p>
    <w:p w14:paraId="41A4D815">
      <w:pPr>
        <w:pageBreakBefore w:val="0"/>
        <w:widowControl w:val="0"/>
        <w:kinsoku/>
        <w:wordWrap w:val="0"/>
        <w:topLinePunct w:val="0"/>
        <w:bidi w:val="0"/>
        <w:spacing w:after="120"/>
        <w:ind w:firstLine="240" w:firstLineChars="100"/>
        <w:jc w:val="both"/>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日期：</w:t>
      </w:r>
    </w:p>
    <w:p w14:paraId="7486626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bookmarkEnd w:id="46"/>
      <w:bookmarkEnd w:id="47"/>
      <w:bookmarkEnd w:id="48"/>
      <w:bookmarkStart w:id="49" w:name="_Toc28157"/>
      <w:bookmarkStart w:id="50" w:name="_Toc28635"/>
      <w:bookmarkStart w:id="51" w:name="_Toc6047"/>
    </w:p>
    <w:p w14:paraId="1E165AFC">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49"/>
      <w:bookmarkEnd w:id="50"/>
      <w:bookmarkEnd w:id="51"/>
    </w:p>
    <w:p w14:paraId="13D5583B">
      <w:pPr>
        <w:pStyle w:val="6"/>
        <w:shd w:val="clear" w:color="auto" w:fill="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724ADC96">
      <w:pPr>
        <w:shd w:val="clear" w:color="auto" w:fill="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平阳站前片区城市设计、控制性详细规划服务</w:t>
      </w:r>
    </w:p>
    <w:p w14:paraId="1EF7058B">
      <w:pPr>
        <w:pStyle w:val="61"/>
        <w:shd w:val="clear" w:color="auto" w:fill="auto"/>
        <w:wordWrap w:val="0"/>
        <w:spacing w:after="0" w:line="360" w:lineRule="auto"/>
        <w:rPr>
          <w:rFonts w:hint="eastAsia" w:ascii="宋体" w:hAnsi="宋体" w:eastAsia="宋体" w:cs="宋体"/>
          <w:color w:val="auto"/>
          <w:highlight w:val="none"/>
        </w:rPr>
      </w:pPr>
    </w:p>
    <w:p w14:paraId="104F5261">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E9D63E1">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6CA41398">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66F2DA80">
        <w:tblPrEx>
          <w:tblCellMar>
            <w:top w:w="0" w:type="dxa"/>
            <w:left w:w="108" w:type="dxa"/>
            <w:bottom w:w="0" w:type="dxa"/>
            <w:right w:w="108" w:type="dxa"/>
          </w:tblCellMar>
        </w:tblPrEx>
        <w:trPr>
          <w:trHeight w:val="680" w:hRule="atLeast"/>
        </w:trPr>
        <w:tc>
          <w:tcPr>
            <w:tcW w:w="8789" w:type="dxa"/>
            <w:noWrap w:val="0"/>
            <w:vAlign w:val="center"/>
          </w:tcPr>
          <w:p w14:paraId="0B45C84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PYCG250902093</w:t>
            </w:r>
            <w:r>
              <w:rPr>
                <w:rFonts w:hint="eastAsia" w:ascii="宋体" w:hAnsi="宋体" w:eastAsia="宋体" w:cs="宋体"/>
                <w:b/>
                <w:color w:val="auto"/>
                <w:sz w:val="28"/>
                <w:szCs w:val="28"/>
                <w:highlight w:val="none"/>
              </w:rPr>
              <w:t xml:space="preserve">    </w:t>
            </w:r>
          </w:p>
        </w:tc>
      </w:tr>
      <w:tr w14:paraId="31AB2DFD">
        <w:tblPrEx>
          <w:tblCellMar>
            <w:top w:w="0" w:type="dxa"/>
            <w:left w:w="108" w:type="dxa"/>
            <w:bottom w:w="0" w:type="dxa"/>
            <w:right w:w="108" w:type="dxa"/>
          </w:tblCellMar>
        </w:tblPrEx>
        <w:trPr>
          <w:trHeight w:val="680" w:hRule="atLeast"/>
        </w:trPr>
        <w:tc>
          <w:tcPr>
            <w:tcW w:w="8789" w:type="dxa"/>
            <w:noWrap w:val="0"/>
            <w:vAlign w:val="center"/>
          </w:tcPr>
          <w:p w14:paraId="4AD1BDF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60B13DF2">
        <w:tblPrEx>
          <w:tblCellMar>
            <w:top w:w="0" w:type="dxa"/>
            <w:left w:w="108" w:type="dxa"/>
            <w:bottom w:w="0" w:type="dxa"/>
            <w:right w:w="108" w:type="dxa"/>
          </w:tblCellMar>
        </w:tblPrEx>
        <w:trPr>
          <w:trHeight w:val="680" w:hRule="atLeast"/>
        </w:trPr>
        <w:tc>
          <w:tcPr>
            <w:tcW w:w="8789" w:type="dxa"/>
            <w:noWrap w:val="0"/>
            <w:vAlign w:val="center"/>
          </w:tcPr>
          <w:p w14:paraId="6A37D5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1BB96B3F">
        <w:tblPrEx>
          <w:tblCellMar>
            <w:top w:w="0" w:type="dxa"/>
            <w:left w:w="108" w:type="dxa"/>
            <w:bottom w:w="0" w:type="dxa"/>
            <w:right w:w="108" w:type="dxa"/>
          </w:tblCellMar>
        </w:tblPrEx>
        <w:trPr>
          <w:trHeight w:val="680" w:hRule="atLeast"/>
        </w:trPr>
        <w:tc>
          <w:tcPr>
            <w:tcW w:w="8789" w:type="dxa"/>
            <w:noWrap w:val="0"/>
            <w:vAlign w:val="center"/>
          </w:tcPr>
          <w:p w14:paraId="72E0675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AAADE55">
        <w:tblPrEx>
          <w:tblCellMar>
            <w:top w:w="0" w:type="dxa"/>
            <w:left w:w="108" w:type="dxa"/>
            <w:bottom w:w="0" w:type="dxa"/>
            <w:right w:w="108" w:type="dxa"/>
          </w:tblCellMar>
        </w:tblPrEx>
        <w:trPr>
          <w:trHeight w:val="680" w:hRule="atLeast"/>
        </w:trPr>
        <w:tc>
          <w:tcPr>
            <w:tcW w:w="8789" w:type="dxa"/>
            <w:noWrap w:val="0"/>
            <w:vAlign w:val="center"/>
          </w:tcPr>
          <w:p w14:paraId="27A7B64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37B5731">
        <w:tblPrEx>
          <w:tblCellMar>
            <w:top w:w="0" w:type="dxa"/>
            <w:left w:w="108" w:type="dxa"/>
            <w:bottom w:w="0" w:type="dxa"/>
            <w:right w:w="108" w:type="dxa"/>
          </w:tblCellMar>
        </w:tblPrEx>
        <w:trPr>
          <w:trHeight w:val="335" w:hRule="atLeast"/>
        </w:trPr>
        <w:tc>
          <w:tcPr>
            <w:tcW w:w="8789" w:type="dxa"/>
            <w:noWrap w:val="0"/>
            <w:vAlign w:val="center"/>
          </w:tcPr>
          <w:p w14:paraId="44FA134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288DC89B">
        <w:tblPrEx>
          <w:tblCellMar>
            <w:top w:w="0" w:type="dxa"/>
            <w:left w:w="108" w:type="dxa"/>
            <w:bottom w:w="0" w:type="dxa"/>
            <w:right w:w="108" w:type="dxa"/>
          </w:tblCellMar>
        </w:tblPrEx>
        <w:trPr>
          <w:trHeight w:val="680" w:hRule="atLeast"/>
        </w:trPr>
        <w:tc>
          <w:tcPr>
            <w:tcW w:w="8789" w:type="dxa"/>
            <w:noWrap w:val="0"/>
            <w:vAlign w:val="center"/>
          </w:tcPr>
          <w:p w14:paraId="5B0A7B0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5C28E8B1">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6" w:h="16838"/>
          <w:pgMar w:top="1440" w:right="1080" w:bottom="1440" w:left="1080" w:header="720" w:footer="720" w:gutter="0"/>
          <w:cols w:space="720" w:num="1"/>
          <w:titlePg/>
          <w:docGrid w:linePitch="286" w:charSpace="-3831"/>
        </w:sectPr>
      </w:pPr>
    </w:p>
    <w:p w14:paraId="1AB52F97">
      <w:pPr>
        <w:pStyle w:val="6"/>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55142DDC">
      <w:pPr>
        <w:pStyle w:val="12"/>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729F8F46">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2414B83F">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09CEB07B">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544C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55B5F91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1F17D5C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466070C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57E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5903C0B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平阳站前片区城市设计、控制性详细规划服务</w:t>
            </w:r>
          </w:p>
        </w:tc>
        <w:tc>
          <w:tcPr>
            <w:tcW w:w="4729" w:type="dxa"/>
            <w:noWrap w:val="0"/>
            <w:vAlign w:val="center"/>
          </w:tcPr>
          <w:p w14:paraId="51FCA8D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33E34B37">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4F04A28A">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759CBD9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B8AA428">
      <w:pPr>
        <w:pStyle w:val="12"/>
        <w:numPr>
          <w:ilvl w:val="0"/>
          <w:numId w:val="5"/>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35E1655C">
      <w:pPr>
        <w:pStyle w:val="12"/>
        <w:numPr>
          <w:ilvl w:val="0"/>
          <w:numId w:val="5"/>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2300000</w:t>
      </w:r>
      <w:r>
        <w:rPr>
          <w:rFonts w:hint="eastAsia" w:ascii="宋体" w:hAnsi="宋体" w:eastAsia="宋体" w:cs="宋体"/>
          <w:b/>
          <w:bCs/>
          <w:color w:val="auto"/>
          <w:sz w:val="22"/>
          <w:szCs w:val="22"/>
          <w:highlight w:val="none"/>
          <w:u w:val="single"/>
        </w:rPr>
        <w:t>元，超过最高限价的投标报价为无效标。</w:t>
      </w:r>
    </w:p>
    <w:p w14:paraId="2AEEF81B">
      <w:pPr>
        <w:pStyle w:val="21"/>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B3D208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5CCF0BC0">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35FD7D3">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6EBD6395">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5069A8C8">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0AD588DE">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5181E7E2">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33EC33D">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5883943">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F6CFBCE">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4139CCFF">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C4BC2D7">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04495DA">
      <w:pPr>
        <w:pStyle w:val="12"/>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57EDD29D">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2.3中小企业声明函、监狱企业、残疾人福利性单位及其他相关的充分的证明材料</w:t>
      </w:r>
    </w:p>
    <w:p w14:paraId="561E39D4">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7DB8CCF8">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24B3DF2">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13BCB47D">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1586909">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CC8F85C">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EF44487">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CA3047A">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CA7808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633895C">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2636423">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76CBF10">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2BC7BA0">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0C9A65B9">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307F6506">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24F32D7A">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7C9C8CB8">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620549D5">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3E883114">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29BF9FB2">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0015CC31">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133F3D11">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7F874E4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2D53CAF">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09F9BA50">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00E273">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51EC87B1">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72F9356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B61D938">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43A24606">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287C325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0252D370">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F6F507D">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5BB64F8E">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42E52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07E27E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00E2600A">
      <w:pPr>
        <w:shd w:val="clear" w:color="auto" w:fill="auto"/>
        <w:wordWrap w:val="0"/>
        <w:snapToGrid w:val="0"/>
        <w:spacing w:line="360" w:lineRule="auto"/>
        <w:rPr>
          <w:rFonts w:hint="eastAsia" w:ascii="宋体" w:hAnsi="宋体" w:eastAsia="宋体" w:cs="宋体"/>
          <w:b/>
          <w:color w:val="auto"/>
          <w:spacing w:val="6"/>
          <w:highlight w:val="none"/>
        </w:rPr>
      </w:pPr>
    </w:p>
    <w:p w14:paraId="15003B11">
      <w:pPr>
        <w:shd w:val="clear" w:color="auto" w:fill="auto"/>
        <w:wordWrap w:val="0"/>
        <w:snapToGrid w:val="0"/>
        <w:spacing w:line="360" w:lineRule="auto"/>
        <w:rPr>
          <w:rFonts w:hint="eastAsia" w:ascii="宋体" w:hAnsi="宋体" w:eastAsia="宋体" w:cs="宋体"/>
          <w:b/>
          <w:color w:val="auto"/>
          <w:spacing w:val="6"/>
          <w:highlight w:val="none"/>
        </w:rPr>
      </w:pPr>
    </w:p>
    <w:p w14:paraId="3305150A">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64442BB7">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539F5B4F">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533CE76F">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6B59BC70">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6F01104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5A743A5B">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45F54F22">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4D2F1A45">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2BE4E064">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318596EF">
      <w:pPr>
        <w:pStyle w:val="63"/>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37FA5440">
      <w:pPr>
        <w:pStyle w:val="63"/>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0B8AE199">
      <w:pPr>
        <w:pStyle w:val="63"/>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4AD4720C">
      <w:pPr>
        <w:pStyle w:val="63"/>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1B837A7A">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43832AFF">
      <w:pPr>
        <w:pStyle w:val="63"/>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1B74EED9">
      <w:pPr>
        <w:pStyle w:val="63"/>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2A41CB76">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14:paraId="5C7CC105">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75F5E84">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73566BEF">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60676C2C">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0D0A8490">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31D233B5">
      <w:pPr>
        <w:pStyle w:val="3"/>
        <w:shd w:val="clear" w:color="auto" w:fill="auto"/>
        <w:wordWrap w:val="0"/>
        <w:spacing w:before="0" w:after="0" w:line="360" w:lineRule="auto"/>
        <w:rPr>
          <w:rFonts w:hint="eastAsia" w:ascii="宋体" w:hAnsi="宋体" w:eastAsia="宋体" w:cs="宋体"/>
          <w:color w:val="auto"/>
          <w:highlight w:val="none"/>
        </w:rPr>
      </w:pPr>
      <w:bookmarkStart w:id="52" w:name="_Toc20870"/>
      <w:bookmarkStart w:id="53" w:name="_Toc7988468"/>
      <w:bookmarkStart w:id="54" w:name="_Toc424164168"/>
      <w:bookmarkStart w:id="55" w:name="_Toc30408915"/>
      <w:bookmarkStart w:id="56" w:name="_Toc8008423"/>
      <w:bookmarkStart w:id="57" w:name="_Toc13216"/>
      <w:bookmarkStart w:id="58" w:name="_Toc440162800"/>
      <w:bookmarkStart w:id="59" w:name="_Toc11423"/>
      <w:bookmarkStart w:id="60" w:name="_Toc24550050"/>
      <w:bookmarkStart w:id="61" w:name="_Toc7988414"/>
      <w:r>
        <w:rPr>
          <w:rFonts w:hint="eastAsia" w:ascii="宋体" w:hAnsi="宋体" w:eastAsia="宋体" w:cs="宋体"/>
          <w:color w:val="auto"/>
          <w:highlight w:val="none"/>
        </w:rPr>
        <w:t>三、“商务技术文件”格式</w:t>
      </w:r>
      <w:bookmarkEnd w:id="52"/>
      <w:bookmarkEnd w:id="53"/>
      <w:bookmarkEnd w:id="54"/>
      <w:bookmarkEnd w:id="55"/>
      <w:bookmarkEnd w:id="56"/>
      <w:bookmarkEnd w:id="57"/>
      <w:bookmarkEnd w:id="58"/>
      <w:bookmarkEnd w:id="59"/>
      <w:bookmarkEnd w:id="60"/>
      <w:bookmarkEnd w:id="61"/>
    </w:p>
    <w:p w14:paraId="530B4EB3">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792B5766">
      <w:pPr>
        <w:shd w:val="clear" w:color="auto" w:fill="auto"/>
        <w:wordWrap w:val="0"/>
        <w:spacing w:line="360" w:lineRule="auto"/>
        <w:jc w:val="right"/>
        <w:rPr>
          <w:rFonts w:hint="eastAsia" w:ascii="宋体" w:hAnsi="宋体" w:eastAsia="宋体" w:cs="宋体"/>
          <w:b/>
          <w:color w:val="auto"/>
          <w:sz w:val="32"/>
          <w:szCs w:val="22"/>
          <w:highlight w:val="none"/>
        </w:rPr>
      </w:pPr>
    </w:p>
    <w:p w14:paraId="7DAB447F">
      <w:pPr>
        <w:shd w:val="clear" w:color="auto" w:fill="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平阳站前片区城市设计、控制性详细规划服务</w:t>
      </w:r>
    </w:p>
    <w:p w14:paraId="6228BC18">
      <w:pPr>
        <w:shd w:val="clear" w:color="auto" w:fill="auto"/>
        <w:wordWrap w:val="0"/>
        <w:spacing w:line="360" w:lineRule="auto"/>
        <w:jc w:val="center"/>
        <w:rPr>
          <w:rFonts w:hint="eastAsia" w:ascii="宋体" w:hAnsi="宋体" w:eastAsia="宋体" w:cs="宋体"/>
          <w:b/>
          <w:color w:val="auto"/>
          <w:sz w:val="52"/>
          <w:szCs w:val="22"/>
          <w:highlight w:val="none"/>
        </w:rPr>
      </w:pPr>
    </w:p>
    <w:p w14:paraId="0D268C7E">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1B37B0D4">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0C9AF2F7">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63EA2618">
        <w:tblPrEx>
          <w:tblCellMar>
            <w:top w:w="0" w:type="dxa"/>
            <w:left w:w="108" w:type="dxa"/>
            <w:bottom w:w="0" w:type="dxa"/>
            <w:right w:w="108" w:type="dxa"/>
          </w:tblCellMar>
        </w:tblPrEx>
        <w:trPr>
          <w:trHeight w:val="680" w:hRule="atLeast"/>
        </w:trPr>
        <w:tc>
          <w:tcPr>
            <w:tcW w:w="8789" w:type="dxa"/>
            <w:noWrap w:val="0"/>
            <w:vAlign w:val="center"/>
          </w:tcPr>
          <w:p w14:paraId="22E768D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PYCG250902093</w:t>
            </w:r>
            <w:r>
              <w:rPr>
                <w:rFonts w:hint="eastAsia" w:ascii="宋体" w:hAnsi="宋体" w:eastAsia="宋体" w:cs="宋体"/>
                <w:b/>
                <w:color w:val="auto"/>
                <w:sz w:val="28"/>
                <w:szCs w:val="28"/>
                <w:highlight w:val="none"/>
              </w:rPr>
              <w:t xml:space="preserve">   </w:t>
            </w:r>
          </w:p>
        </w:tc>
      </w:tr>
      <w:tr w14:paraId="4B4766BC">
        <w:tblPrEx>
          <w:tblCellMar>
            <w:top w:w="0" w:type="dxa"/>
            <w:left w:w="108" w:type="dxa"/>
            <w:bottom w:w="0" w:type="dxa"/>
            <w:right w:w="108" w:type="dxa"/>
          </w:tblCellMar>
        </w:tblPrEx>
        <w:trPr>
          <w:trHeight w:val="680" w:hRule="atLeast"/>
        </w:trPr>
        <w:tc>
          <w:tcPr>
            <w:tcW w:w="8789" w:type="dxa"/>
            <w:noWrap w:val="0"/>
            <w:vAlign w:val="center"/>
          </w:tcPr>
          <w:p w14:paraId="374786F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6824064">
        <w:tblPrEx>
          <w:tblCellMar>
            <w:top w:w="0" w:type="dxa"/>
            <w:left w:w="108" w:type="dxa"/>
            <w:bottom w:w="0" w:type="dxa"/>
            <w:right w:w="108" w:type="dxa"/>
          </w:tblCellMar>
        </w:tblPrEx>
        <w:trPr>
          <w:trHeight w:val="680" w:hRule="atLeast"/>
        </w:trPr>
        <w:tc>
          <w:tcPr>
            <w:tcW w:w="8789" w:type="dxa"/>
            <w:noWrap w:val="0"/>
            <w:vAlign w:val="center"/>
          </w:tcPr>
          <w:p w14:paraId="52EEBE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319A844B">
        <w:tblPrEx>
          <w:tblCellMar>
            <w:top w:w="0" w:type="dxa"/>
            <w:left w:w="108" w:type="dxa"/>
            <w:bottom w:w="0" w:type="dxa"/>
            <w:right w:w="108" w:type="dxa"/>
          </w:tblCellMar>
        </w:tblPrEx>
        <w:trPr>
          <w:trHeight w:val="680" w:hRule="atLeast"/>
        </w:trPr>
        <w:tc>
          <w:tcPr>
            <w:tcW w:w="8789" w:type="dxa"/>
            <w:noWrap w:val="0"/>
            <w:vAlign w:val="center"/>
          </w:tcPr>
          <w:p w14:paraId="77A43D6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1C12914B">
        <w:tblPrEx>
          <w:tblCellMar>
            <w:top w:w="0" w:type="dxa"/>
            <w:left w:w="108" w:type="dxa"/>
            <w:bottom w:w="0" w:type="dxa"/>
            <w:right w:w="108" w:type="dxa"/>
          </w:tblCellMar>
        </w:tblPrEx>
        <w:trPr>
          <w:trHeight w:val="680" w:hRule="atLeast"/>
        </w:trPr>
        <w:tc>
          <w:tcPr>
            <w:tcW w:w="8789" w:type="dxa"/>
            <w:noWrap w:val="0"/>
            <w:vAlign w:val="center"/>
          </w:tcPr>
          <w:p w14:paraId="0812689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0C1220D0">
        <w:tblPrEx>
          <w:tblCellMar>
            <w:top w:w="0" w:type="dxa"/>
            <w:left w:w="108" w:type="dxa"/>
            <w:bottom w:w="0" w:type="dxa"/>
            <w:right w:w="108" w:type="dxa"/>
          </w:tblCellMar>
        </w:tblPrEx>
        <w:trPr>
          <w:trHeight w:val="335" w:hRule="atLeast"/>
        </w:trPr>
        <w:tc>
          <w:tcPr>
            <w:tcW w:w="8789" w:type="dxa"/>
            <w:noWrap w:val="0"/>
            <w:vAlign w:val="center"/>
          </w:tcPr>
          <w:p w14:paraId="4FAC05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997E85B">
      <w:pPr>
        <w:shd w:val="clear" w:color="auto" w:fill="auto"/>
        <w:wordWrap w:val="0"/>
        <w:spacing w:line="360" w:lineRule="auto"/>
        <w:rPr>
          <w:rFonts w:hint="eastAsia" w:ascii="宋体" w:hAnsi="宋体" w:eastAsia="宋体" w:cs="宋体"/>
          <w:color w:val="auto"/>
          <w:highlight w:val="none"/>
        </w:rPr>
      </w:pPr>
    </w:p>
    <w:p w14:paraId="33B96454">
      <w:pPr>
        <w:pStyle w:val="5"/>
        <w:shd w:val="clear" w:color="auto" w:fill="auto"/>
        <w:wordWrap w:val="0"/>
        <w:spacing w:before="0" w:after="0" w:line="360" w:lineRule="auto"/>
        <w:rPr>
          <w:rFonts w:hint="eastAsia" w:ascii="宋体" w:hAnsi="宋体" w:eastAsia="宋体" w:cs="宋体"/>
          <w:color w:val="auto"/>
          <w:highlight w:val="none"/>
        </w:rPr>
      </w:pPr>
    </w:p>
    <w:p w14:paraId="063AE03A">
      <w:pPr>
        <w:pStyle w:val="5"/>
        <w:shd w:val="clear" w:color="auto" w:fill="auto"/>
        <w:wordWrap w:val="0"/>
        <w:spacing w:before="0" w:after="0" w:line="360" w:lineRule="auto"/>
        <w:rPr>
          <w:rFonts w:hint="eastAsia" w:ascii="宋体" w:hAnsi="宋体" w:eastAsia="宋体" w:cs="宋体"/>
          <w:color w:val="auto"/>
          <w:highlight w:val="none"/>
        </w:rPr>
      </w:pPr>
    </w:p>
    <w:p w14:paraId="4C7FD8B6">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7"/>
        <w:tblW w:w="0" w:type="auto"/>
        <w:tblInd w:w="0" w:type="dxa"/>
        <w:tblLayout w:type="fixed"/>
        <w:tblCellMar>
          <w:top w:w="0" w:type="dxa"/>
          <w:left w:w="0" w:type="dxa"/>
          <w:bottom w:w="0" w:type="dxa"/>
          <w:right w:w="0" w:type="dxa"/>
        </w:tblCellMar>
      </w:tblPr>
      <w:tblGrid>
        <w:gridCol w:w="1095"/>
        <w:gridCol w:w="7470"/>
        <w:gridCol w:w="1340"/>
      </w:tblGrid>
      <w:tr w14:paraId="47380F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993F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02CF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0636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6204D6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3BA56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72CD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7DC0C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F0E715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0D98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69B0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48B6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0D3256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56E07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7E9B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61F0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D1D5B5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4A7B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FAA3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23D23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A0DF7B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72989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D1E9C">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92DB5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033958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A3CFA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52CBC">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97A8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1D8EFD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5EBF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6447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DED8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9122E5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A7B1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D7A7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23C6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5E41A9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D5F9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4153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C7AA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285E3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F25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0E92A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F62B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36433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013A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D1729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93AC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1ED5B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0738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9942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9BAF5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F237D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B0443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F28A4C">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B29D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28097B24">
      <w:pPr>
        <w:shd w:val="clear" w:color="auto" w:fill="auto"/>
        <w:wordWrap w:val="0"/>
        <w:spacing w:line="360" w:lineRule="auto"/>
        <w:rPr>
          <w:rFonts w:hint="eastAsia" w:ascii="宋体" w:hAnsi="宋体" w:eastAsia="宋体" w:cs="宋体"/>
          <w:color w:val="auto"/>
          <w:highlight w:val="none"/>
        </w:rPr>
      </w:pPr>
    </w:p>
    <w:p w14:paraId="6DB632AF">
      <w:pPr>
        <w:shd w:val="clear" w:color="auto" w:fill="auto"/>
        <w:wordWrap w:val="0"/>
        <w:spacing w:line="360" w:lineRule="auto"/>
        <w:rPr>
          <w:rFonts w:hint="eastAsia" w:ascii="宋体" w:hAnsi="宋体" w:eastAsia="宋体" w:cs="宋体"/>
          <w:color w:val="auto"/>
          <w:sz w:val="32"/>
          <w:highlight w:val="none"/>
        </w:rPr>
      </w:pPr>
    </w:p>
    <w:p w14:paraId="4FBC3838">
      <w:pPr>
        <w:shd w:val="clear" w:color="auto" w:fill="auto"/>
        <w:wordWrap w:val="0"/>
        <w:spacing w:line="360" w:lineRule="auto"/>
        <w:rPr>
          <w:rFonts w:hint="eastAsia" w:ascii="宋体" w:hAnsi="宋体" w:eastAsia="宋体" w:cs="宋体"/>
          <w:color w:val="auto"/>
          <w:sz w:val="32"/>
          <w:highlight w:val="none"/>
        </w:rPr>
      </w:pPr>
    </w:p>
    <w:p w14:paraId="5CC62EF2">
      <w:pPr>
        <w:pStyle w:val="4"/>
        <w:rPr>
          <w:rFonts w:hint="eastAsia" w:ascii="宋体" w:hAnsi="宋体" w:eastAsia="宋体" w:cs="宋体"/>
          <w:color w:val="auto"/>
          <w:sz w:val="32"/>
          <w:highlight w:val="none"/>
        </w:rPr>
      </w:pPr>
    </w:p>
    <w:p w14:paraId="4B66F25A">
      <w:pPr>
        <w:rPr>
          <w:rFonts w:hint="eastAsia" w:ascii="宋体" w:hAnsi="宋体" w:eastAsia="宋体" w:cs="宋体"/>
          <w:color w:val="auto"/>
          <w:sz w:val="32"/>
          <w:highlight w:val="none"/>
        </w:rPr>
      </w:pPr>
    </w:p>
    <w:p w14:paraId="4BE08806">
      <w:pPr>
        <w:pStyle w:val="4"/>
        <w:rPr>
          <w:rFonts w:hint="eastAsia" w:ascii="宋体" w:hAnsi="宋体" w:eastAsia="宋体" w:cs="宋体"/>
          <w:color w:val="auto"/>
          <w:sz w:val="32"/>
          <w:highlight w:val="none"/>
        </w:rPr>
      </w:pPr>
    </w:p>
    <w:p w14:paraId="0F0349C6">
      <w:pPr>
        <w:rPr>
          <w:rFonts w:hint="eastAsia"/>
          <w:color w:val="auto"/>
          <w:highlight w:val="none"/>
        </w:rPr>
      </w:pPr>
    </w:p>
    <w:p w14:paraId="7FBBFEB0">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4855BB20">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7"/>
        <w:tblW w:w="0" w:type="auto"/>
        <w:tblInd w:w="108" w:type="dxa"/>
        <w:tblLayout w:type="fixed"/>
        <w:tblCellMar>
          <w:top w:w="0" w:type="dxa"/>
          <w:left w:w="0" w:type="dxa"/>
          <w:bottom w:w="0" w:type="dxa"/>
          <w:right w:w="0" w:type="dxa"/>
        </w:tblCellMar>
      </w:tblPr>
      <w:tblGrid>
        <w:gridCol w:w="1620"/>
        <w:gridCol w:w="7992"/>
      </w:tblGrid>
      <w:tr w14:paraId="69BA9B0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40749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E804783">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2DE4771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ED6152">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45CCA0">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8F87EB4">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74BDF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98B4D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0B636C9E">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EF4EDF">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0131079B">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0D6A60F4">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7251F948">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416AFD07">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5750F8C0">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1EF15AB7">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702F798">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460A66F0">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6E0C4137">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86C77D4">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7AF1254">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DF5DF">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366BEC4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E3112">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1CDABE5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301F58">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625C50E4">
      <w:pPr>
        <w:shd w:val="clear" w:color="auto" w:fill="auto"/>
        <w:wordWrap w:val="0"/>
        <w:spacing w:line="360" w:lineRule="auto"/>
        <w:rPr>
          <w:rFonts w:hint="eastAsia" w:ascii="宋体" w:hAnsi="宋体" w:eastAsia="宋体" w:cs="宋体"/>
          <w:color w:val="auto"/>
          <w:sz w:val="36"/>
          <w:highlight w:val="none"/>
        </w:rPr>
      </w:pPr>
    </w:p>
    <w:p w14:paraId="474CF0D9">
      <w:pPr>
        <w:pStyle w:val="12"/>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6C68A159">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平阳县城市建设投资有限公司</w:t>
      </w:r>
      <w:r>
        <w:rPr>
          <w:rFonts w:hint="eastAsia" w:hAnsi="宋体" w:eastAsia="宋体" w:cs="宋体"/>
          <w:color w:val="auto"/>
          <w:sz w:val="22"/>
          <w:szCs w:val="22"/>
          <w:highlight w:val="none"/>
          <w:u w:val="single"/>
          <w:lang w:eastAsia="zh-CN"/>
        </w:rPr>
        <w:t>：</w:t>
      </w:r>
    </w:p>
    <w:p w14:paraId="28A78813">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14:paraId="51E16788">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6BA287D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00431B4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56AB69F9">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17099C2">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4E7EB428">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4102FCDF">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12358C08">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7B5FB409">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1692A0A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4FCEC55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6584B81A">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5DFCEF2A">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7868D35">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26D48B28">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764C5B">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7318A1B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4E51B6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06CC728A">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269F0549">
      <w:pPr>
        <w:pStyle w:val="12"/>
        <w:shd w:val="clear" w:color="auto" w:fill="auto"/>
        <w:wordWrap w:val="0"/>
        <w:spacing w:line="360" w:lineRule="auto"/>
        <w:rPr>
          <w:rFonts w:hint="eastAsia" w:ascii="宋体" w:hAnsi="宋体" w:eastAsia="宋体" w:cs="宋体"/>
          <w:b/>
          <w:color w:val="auto"/>
          <w:sz w:val="32"/>
          <w:szCs w:val="32"/>
          <w:highlight w:val="none"/>
        </w:rPr>
      </w:pPr>
    </w:p>
    <w:p w14:paraId="38E28E31">
      <w:pPr>
        <w:pStyle w:val="12"/>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62" w:name="_Toc16564"/>
      <w:bookmarkStart w:id="63" w:name="_Toc29299"/>
      <w:bookmarkStart w:id="64" w:name="_Toc3313"/>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62"/>
      <w:bookmarkEnd w:id="63"/>
      <w:bookmarkEnd w:id="64"/>
    </w:p>
    <w:p w14:paraId="6213F4B0">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65" w:name="_Toc31506"/>
      <w:bookmarkStart w:id="66" w:name="_Toc9797"/>
      <w:bookmarkStart w:id="67" w:name="_Toc28012"/>
      <w:r>
        <w:rPr>
          <w:rFonts w:hint="eastAsia" w:ascii="宋体" w:hAnsi="宋体" w:eastAsia="宋体" w:cs="宋体"/>
          <w:b/>
          <w:color w:val="auto"/>
          <w:sz w:val="36"/>
          <w:highlight w:val="none"/>
        </w:rPr>
        <w:t>投标供应商情况声明</w:t>
      </w:r>
      <w:bookmarkEnd w:id="65"/>
      <w:bookmarkEnd w:id="66"/>
      <w:bookmarkEnd w:id="67"/>
    </w:p>
    <w:p w14:paraId="405A47DA">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68" w:name="_Toc17869"/>
      <w:bookmarkStart w:id="69" w:name="_Toc10096"/>
      <w:bookmarkStart w:id="70" w:name="_Toc16036"/>
      <w:r>
        <w:rPr>
          <w:rFonts w:hint="eastAsia" w:ascii="宋体" w:hAnsi="宋体" w:eastAsia="宋体" w:cs="宋体"/>
          <w:color w:val="auto"/>
          <w:sz w:val="22"/>
          <w:szCs w:val="22"/>
          <w:highlight w:val="none"/>
        </w:rPr>
        <w:t>1. 名称及概况</w:t>
      </w:r>
      <w:bookmarkEnd w:id="68"/>
      <w:bookmarkEnd w:id="69"/>
      <w:bookmarkEnd w:id="70"/>
      <w:r>
        <w:rPr>
          <w:rFonts w:hint="eastAsia" w:ascii="宋体" w:hAnsi="宋体" w:eastAsia="宋体" w:cs="宋体"/>
          <w:color w:val="auto"/>
          <w:sz w:val="22"/>
          <w:szCs w:val="22"/>
          <w:highlight w:val="none"/>
          <w:lang w:eastAsia="zh-CN"/>
        </w:rPr>
        <w:t>：</w:t>
      </w:r>
    </w:p>
    <w:p w14:paraId="30787A6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AC8CE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D94637">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2443B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38236A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4CBAF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D989E85">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FE02639">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510DB803">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9A4E9FA">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7C0AF6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4A06765">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6F80FD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8D753D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11A5BE6">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5870BE58">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71" w:name="_Toc30295"/>
      <w:bookmarkStart w:id="72" w:name="_Toc5309"/>
      <w:bookmarkStart w:id="73" w:name="_Toc3048"/>
      <w:r>
        <w:rPr>
          <w:rFonts w:hint="eastAsia" w:ascii="宋体" w:hAnsi="宋体" w:eastAsia="宋体" w:cs="宋体"/>
          <w:color w:val="auto"/>
          <w:sz w:val="22"/>
          <w:szCs w:val="22"/>
          <w:highlight w:val="none"/>
        </w:rPr>
        <w:t>3. 企业人员情况</w:t>
      </w:r>
      <w:bookmarkEnd w:id="71"/>
      <w:bookmarkEnd w:id="72"/>
      <w:bookmarkEnd w:id="73"/>
      <w:r>
        <w:rPr>
          <w:rFonts w:hint="eastAsia" w:ascii="宋体" w:hAnsi="宋体" w:eastAsia="宋体" w:cs="宋体"/>
          <w:color w:val="auto"/>
          <w:sz w:val="22"/>
          <w:szCs w:val="22"/>
          <w:highlight w:val="none"/>
          <w:lang w:eastAsia="zh-CN"/>
        </w:rPr>
        <w:t>：</w:t>
      </w:r>
    </w:p>
    <w:p w14:paraId="459F2C0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71AA367F">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74" w:name="_Toc22181"/>
      <w:bookmarkStart w:id="75" w:name="_Toc1185"/>
      <w:bookmarkStart w:id="76" w:name="_Toc22922"/>
      <w:r>
        <w:rPr>
          <w:rFonts w:hint="eastAsia" w:ascii="宋体" w:hAnsi="宋体" w:eastAsia="宋体" w:cs="宋体"/>
          <w:color w:val="auto"/>
          <w:sz w:val="22"/>
          <w:szCs w:val="22"/>
          <w:highlight w:val="none"/>
        </w:rPr>
        <w:t>4. 近三年的年营业总额</w:t>
      </w:r>
      <w:bookmarkEnd w:id="74"/>
      <w:bookmarkEnd w:id="75"/>
      <w:bookmarkEnd w:id="76"/>
      <w:r>
        <w:rPr>
          <w:rFonts w:hint="eastAsia" w:ascii="宋体" w:hAnsi="宋体" w:eastAsia="宋体" w:cs="宋体"/>
          <w:color w:val="auto"/>
          <w:sz w:val="22"/>
          <w:szCs w:val="22"/>
          <w:highlight w:val="none"/>
          <w:u w:val="single"/>
        </w:rPr>
        <w:t xml:space="preserve">                       </w:t>
      </w:r>
    </w:p>
    <w:p w14:paraId="33629C3B">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2C186174">
      <w:pPr>
        <w:shd w:val="clear" w:color="auto" w:fill="auto"/>
        <w:wordWrap w:val="0"/>
        <w:spacing w:line="360" w:lineRule="auto"/>
        <w:rPr>
          <w:rFonts w:hint="eastAsia" w:ascii="宋体" w:hAnsi="宋体" w:eastAsia="宋体" w:cs="宋体"/>
          <w:color w:val="auto"/>
          <w:sz w:val="22"/>
          <w:szCs w:val="22"/>
          <w:highlight w:val="none"/>
        </w:rPr>
      </w:pPr>
    </w:p>
    <w:p w14:paraId="67978019">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5E3F3B8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1A331D8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0CEF868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280D2CA">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6AD0D985">
      <w:pPr>
        <w:pStyle w:val="12"/>
        <w:shd w:val="clear" w:color="auto" w:fill="auto"/>
        <w:wordWrap w:val="0"/>
        <w:spacing w:line="360" w:lineRule="auto"/>
        <w:rPr>
          <w:rFonts w:hint="eastAsia" w:ascii="宋体" w:hAnsi="宋体" w:eastAsia="宋体" w:cs="宋体"/>
          <w:b/>
          <w:color w:val="auto"/>
          <w:sz w:val="22"/>
          <w:szCs w:val="22"/>
          <w:highlight w:val="none"/>
        </w:rPr>
      </w:pPr>
    </w:p>
    <w:p w14:paraId="628D2B6C">
      <w:pPr>
        <w:pStyle w:val="12"/>
        <w:shd w:val="clear" w:color="auto" w:fill="auto"/>
        <w:wordWrap w:val="0"/>
        <w:spacing w:line="360" w:lineRule="auto"/>
        <w:rPr>
          <w:rFonts w:hint="eastAsia" w:ascii="宋体" w:hAnsi="宋体" w:eastAsia="宋体" w:cs="宋体"/>
          <w:b/>
          <w:color w:val="auto"/>
          <w:sz w:val="32"/>
          <w:szCs w:val="32"/>
          <w:highlight w:val="none"/>
        </w:rPr>
      </w:pPr>
    </w:p>
    <w:p w14:paraId="6F43DBD5">
      <w:pPr>
        <w:pStyle w:val="12"/>
        <w:shd w:val="clear" w:color="auto" w:fill="auto"/>
        <w:wordWrap w:val="0"/>
        <w:spacing w:line="360" w:lineRule="auto"/>
        <w:rPr>
          <w:rFonts w:hint="eastAsia" w:ascii="宋体" w:hAnsi="宋体" w:eastAsia="宋体" w:cs="宋体"/>
          <w:b/>
          <w:color w:val="auto"/>
          <w:sz w:val="32"/>
          <w:szCs w:val="32"/>
          <w:highlight w:val="none"/>
        </w:rPr>
      </w:pPr>
    </w:p>
    <w:p w14:paraId="180CDB4C">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77" w:name="_Toc12302"/>
      <w:bookmarkStart w:id="78" w:name="_Toc15806"/>
      <w:bookmarkStart w:id="79" w:name="_Toc7270"/>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77"/>
      <w:bookmarkEnd w:id="78"/>
      <w:bookmarkEnd w:id="79"/>
    </w:p>
    <w:p w14:paraId="7F413CEB">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80" w:name="_Toc18670"/>
      <w:bookmarkStart w:id="81" w:name="_Toc21941"/>
      <w:bookmarkStart w:id="82" w:name="_Toc14824"/>
      <w:r>
        <w:rPr>
          <w:rFonts w:hint="eastAsia" w:ascii="宋体" w:hAnsi="宋体" w:eastAsia="宋体" w:cs="宋体"/>
          <w:b/>
          <w:color w:val="auto"/>
          <w:sz w:val="36"/>
          <w:highlight w:val="none"/>
          <w:lang w:val="zh-CN"/>
        </w:rPr>
        <w:t>商 务 偏 离 表</w:t>
      </w:r>
      <w:bookmarkEnd w:id="80"/>
      <w:bookmarkEnd w:id="81"/>
      <w:bookmarkEnd w:id="82"/>
    </w:p>
    <w:p w14:paraId="04176658">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368C04E">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272F3B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FB10B0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5FC6652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4A8CB6D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3626E05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2D99B8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FB981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0F4593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2A1505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FC293E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ABD62F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AF47A4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A927D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6F897B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C24182">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A568D7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4FEBE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0BDEB5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9B1A5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A4994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99B7D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BC9A6D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71FE3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8B8788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2079FAB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A33E7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3AE62C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49299E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D184C0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1DB012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FAE3BA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80CECB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DBF35D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391F5B2">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EF4C1F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A3154D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BF3FF2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3BE1A6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949D1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79BB6C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26B726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9C1BAD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40B222FA">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E0720F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E6D9573">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FBF553A">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2643C66">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83" w:name="_Toc31864"/>
      <w:bookmarkStart w:id="84" w:name="_Toc18312"/>
      <w:bookmarkStart w:id="85" w:name="_Toc27863"/>
      <w:r>
        <w:rPr>
          <w:rFonts w:hint="eastAsia" w:ascii="宋体" w:hAnsi="宋体" w:eastAsia="宋体" w:cs="宋体"/>
          <w:b/>
          <w:color w:val="auto"/>
          <w:sz w:val="36"/>
          <w:highlight w:val="none"/>
          <w:lang w:val="zh-CN"/>
        </w:rPr>
        <w:t>技术偏离表</w:t>
      </w:r>
      <w:bookmarkEnd w:id="83"/>
      <w:bookmarkEnd w:id="84"/>
      <w:bookmarkEnd w:id="85"/>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C8A7669">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99EF7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DE3E8A2">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1840650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FF019A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0470EBA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6260CCE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52078FD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36B96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D6E517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49D9A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4E1E2B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3D443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5A69C5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E5FCD9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CDF36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E1F683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54EFE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1F06CD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17335E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A94CC5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3B55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838B8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FFF59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70F59C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2C1730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98DDD72">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97C07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56C865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F04A3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CA45E9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14DD18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B3A4C6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C5DE2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934B86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421BD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7EC04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C9DC0C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792A21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6E9FD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D7605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1D56C8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693D81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22312BF1">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1A38BA1">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023933F3">
      <w:pPr>
        <w:shd w:val="clear" w:color="auto" w:fill="auto"/>
        <w:wordWrap w:val="0"/>
        <w:spacing w:line="360" w:lineRule="auto"/>
        <w:rPr>
          <w:rFonts w:hint="eastAsia" w:ascii="宋体" w:hAnsi="宋体" w:eastAsia="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50EE4999">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3AB59471">
      <w:pPr>
        <w:pStyle w:val="24"/>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86" w:name="_Toc18995"/>
      <w:bookmarkStart w:id="87" w:name="_Toc28398"/>
      <w:bookmarkStart w:id="88" w:name="_Toc24758"/>
      <w:r>
        <w:rPr>
          <w:rFonts w:hint="eastAsia" w:ascii="宋体" w:hAnsi="宋体" w:eastAsia="宋体" w:cs="宋体"/>
          <w:b w:val="0"/>
          <w:color w:val="auto"/>
          <w:sz w:val="36"/>
          <w:szCs w:val="36"/>
          <w:highlight w:val="none"/>
        </w:rPr>
        <w:t>针对本项目拟派人员名单</w:t>
      </w:r>
      <w:bookmarkEnd w:id="86"/>
      <w:bookmarkEnd w:id="87"/>
      <w:bookmarkEnd w:id="88"/>
    </w:p>
    <w:tbl>
      <w:tblPr>
        <w:tblStyle w:val="2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096AEA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6E4EFD4">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37C09660">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01A75DF7">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6F76BBC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57D7B36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4FAEF2F6">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5EB960D8">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545C54D2">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409FE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33BCFF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7A05A62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19DADF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7A27AAB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639DBF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5B2E179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010DBC03">
            <w:pPr>
              <w:pStyle w:val="13"/>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3382400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94F9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348F67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F401CE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984AF6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8913A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953CF2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F297FE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23622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40570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EDFF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0DF2C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C27D8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980C3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A513F5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5FCA9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15672E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DA2869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9E3A2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1948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90B16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5E63E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1F34BF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9739CD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3992C8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2C458F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93E74D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13A68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69EA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9580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512356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00F3209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8452FB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60755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D14E99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89805B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99AC92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2603C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4D8D9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9A0C51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27F10D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2E35B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AF54C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3D095C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D2DA7E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5073A3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C803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0EC1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AF9A41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4606B6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7919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9183C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A855FC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05D85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AE498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67F5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1BDC4A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88FD89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1D31A4B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45BA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8A51FD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FAB20D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256F18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CA9BAD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F166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92CF5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427841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DC80C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E50EF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EDEDD5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C5880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90CB22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EE1599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BB00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564298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8C7DC9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9864EC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5967C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14945F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634597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94D883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EA797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B3345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C9B5DC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EBF98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F98184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B4A814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CAFFA0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292C10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E17F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590E9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EFF8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5AD4EE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AA84D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12DCBD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7A166C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EA1A5A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C2967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4D75A6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7CD59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EB661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D94ED5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20DD12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2A67FA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E3C6A0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2849B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5765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A03CF4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3850F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B883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6C8058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55AD3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D5BF8E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BD7DD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D38AA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3BB366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34C96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AEA800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EC801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2BACA0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F6D5CD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668AC8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94FBB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2C3F99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7DA1E3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7FE1B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70BD26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1FE5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8AC325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B22560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4EB41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8C608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AF9126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DF9EDB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89398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3AF25B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08F9DF46">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0E67FA38">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6E22F5E8">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14:paraId="3C0CBC5B">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4817A74C">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63E30228">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05974DED">
      <w:pPr>
        <w:shd w:val="clear" w:color="auto" w:fill="auto"/>
        <w:wordWrap w:val="0"/>
        <w:spacing w:line="360" w:lineRule="auto"/>
        <w:rPr>
          <w:rFonts w:hint="eastAsia" w:ascii="宋体" w:hAnsi="宋体" w:eastAsia="宋体" w:cs="宋体"/>
          <w:color w:val="auto"/>
          <w:sz w:val="36"/>
          <w:szCs w:val="36"/>
          <w:highlight w:val="none"/>
        </w:rPr>
      </w:pPr>
    </w:p>
    <w:p w14:paraId="1B1F9164">
      <w:pPr>
        <w:shd w:val="clear" w:color="auto" w:fill="auto"/>
        <w:wordWrap w:val="0"/>
        <w:spacing w:line="360" w:lineRule="auto"/>
        <w:rPr>
          <w:rFonts w:hint="eastAsia" w:ascii="宋体" w:hAnsi="宋体" w:eastAsia="宋体" w:cs="宋体"/>
          <w:color w:val="auto"/>
          <w:sz w:val="36"/>
          <w:szCs w:val="36"/>
          <w:highlight w:val="none"/>
        </w:rPr>
      </w:pPr>
    </w:p>
    <w:p w14:paraId="4691BC9E">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7F0ACD71">
      <w:pPr>
        <w:pStyle w:val="6"/>
        <w:shd w:val="clear" w:color="auto" w:fill="auto"/>
        <w:wordWrap w:val="0"/>
        <w:spacing w:before="0" w:after="0" w:line="360" w:lineRule="auto"/>
        <w:rPr>
          <w:rFonts w:hint="eastAsia" w:ascii="宋体" w:hAnsi="宋体" w:eastAsia="宋体" w:cs="宋体"/>
          <w:color w:val="auto"/>
          <w:highlight w:val="none"/>
        </w:rPr>
      </w:pPr>
    </w:p>
    <w:p w14:paraId="5E4B84BC">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89" w:name="_Toc15594"/>
      <w:bookmarkStart w:id="90" w:name="_Toc5823"/>
      <w:bookmarkStart w:id="91" w:name="_Toc3954"/>
      <w:r>
        <w:rPr>
          <w:rFonts w:hint="eastAsia" w:ascii="宋体" w:hAnsi="宋体" w:eastAsia="宋体" w:cs="宋体"/>
          <w:b/>
          <w:color w:val="auto"/>
          <w:sz w:val="40"/>
          <w:highlight w:val="none"/>
        </w:rPr>
        <w:t>供应商认为有必要提供的其他材料或说明</w:t>
      </w:r>
      <w:bookmarkEnd w:id="89"/>
      <w:bookmarkEnd w:id="90"/>
      <w:bookmarkEnd w:id="91"/>
    </w:p>
    <w:p w14:paraId="535B99DC">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平阳站前片区城市设计、控制性详细规划服务</w:t>
      </w:r>
    </w:p>
    <w:p w14:paraId="7FF52C0E">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PYCG250902093</w:t>
      </w:r>
    </w:p>
    <w:tbl>
      <w:tblPr>
        <w:tblStyle w:val="2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79AE4B8">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PrEx>
        <w:trPr>
          <w:trHeight w:val="7655" w:hRule="atLeast"/>
        </w:trPr>
        <w:tc>
          <w:tcPr>
            <w:tcW w:w="9145" w:type="dxa"/>
            <w:noWrap w:val="0"/>
            <w:vAlign w:val="top"/>
          </w:tcPr>
          <w:p w14:paraId="5077A5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8E60C05">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4D743766">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37C5ACF3">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6B0AEF4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17AEAC51">
      <w:pPr>
        <w:pStyle w:val="25"/>
        <w:shd w:val="clear" w:color="auto" w:fill="auto"/>
        <w:wordWrap w:val="0"/>
        <w:spacing w:after="0" w:line="360" w:lineRule="auto"/>
        <w:ind w:firstLine="361"/>
        <w:rPr>
          <w:rFonts w:hint="eastAsia" w:ascii="宋体" w:hAnsi="宋体" w:eastAsia="宋体" w:cs="宋体"/>
          <w:b/>
          <w:color w:val="auto"/>
          <w:sz w:val="36"/>
          <w:szCs w:val="36"/>
          <w:highlight w:val="none"/>
        </w:rPr>
      </w:pPr>
    </w:p>
    <w:p w14:paraId="68C01667">
      <w:pPr>
        <w:pStyle w:val="19"/>
        <w:shd w:val="clear" w:color="auto" w:fill="auto"/>
        <w:wordWrap w:val="0"/>
        <w:spacing w:line="360" w:lineRule="auto"/>
        <w:rPr>
          <w:rFonts w:hint="eastAsia" w:ascii="宋体" w:hAnsi="宋体" w:eastAsia="宋体" w:cs="宋体"/>
          <w:color w:val="auto"/>
          <w:highlight w:val="none"/>
        </w:rPr>
      </w:pPr>
    </w:p>
    <w:p w14:paraId="6537B27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109FD52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0658030C">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3EF7F420">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737C898F">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14134C0">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146D378A">
      <w:pPr>
        <w:shd w:val="clear" w:color="auto" w:fill="auto"/>
        <w:wordWrap w:val="0"/>
        <w:spacing w:line="360" w:lineRule="auto"/>
        <w:rPr>
          <w:rFonts w:hint="eastAsia" w:ascii="宋体" w:hAnsi="宋体" w:eastAsia="宋体" w:cs="宋体"/>
          <w:color w:val="auto"/>
          <w:sz w:val="22"/>
          <w:szCs w:val="22"/>
          <w:highlight w:val="none"/>
        </w:rPr>
      </w:pPr>
    </w:p>
    <w:p w14:paraId="6991C244">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16E864F9">
      <w:pPr>
        <w:shd w:val="clear" w:color="auto" w:fill="auto"/>
        <w:wordWrap w:val="0"/>
        <w:spacing w:line="360" w:lineRule="auto"/>
        <w:rPr>
          <w:rFonts w:hint="eastAsia" w:ascii="宋体" w:hAnsi="宋体" w:eastAsia="宋体" w:cs="宋体"/>
          <w:color w:val="auto"/>
          <w:sz w:val="22"/>
          <w:szCs w:val="22"/>
          <w:highlight w:val="none"/>
        </w:rPr>
      </w:pPr>
    </w:p>
    <w:p w14:paraId="25C9071A">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0FEFB146">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2D21175">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F74B10D">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79C2BC2B">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4B04677">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3128DE83">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74A6D98D">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11AC8117">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6B56895">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72A725B">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423452D5">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8D032DD">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13830E9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09AD10B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77BB1B34">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4BCD7DF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30FC8E7A">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C6F0BEF">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C8ADA2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173E857F">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6A8AFF0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0CE14861">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522A660B">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14:paraId="7C0767F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5A49C2">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114E395A">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19E54E6D">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688453A4">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771E717D">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92" w:name="_Toc19137"/>
      <w:r>
        <w:rPr>
          <w:rFonts w:hint="eastAsia" w:ascii="宋体" w:hAnsi="宋体" w:eastAsia="宋体" w:cs="宋体"/>
          <w:b/>
          <w:bCs/>
          <w:color w:val="auto"/>
          <w:sz w:val="36"/>
          <w:highlight w:val="none"/>
        </w:rPr>
        <w:t>第七部分 评标办法</w:t>
      </w:r>
      <w:bookmarkEnd w:id="92"/>
    </w:p>
    <w:p w14:paraId="6AC53766">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0F125955">
      <w:pPr>
        <w:pStyle w:val="14"/>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3" w:name="_Toc17848"/>
      <w:bookmarkStart w:id="94" w:name="_Toc3069"/>
      <w:bookmarkStart w:id="95" w:name="_Toc22055"/>
      <w:r>
        <w:rPr>
          <w:rFonts w:hint="eastAsia" w:ascii="宋体" w:hAnsi="宋体" w:eastAsia="宋体" w:cs="宋体"/>
          <w:color w:val="auto"/>
          <w:sz w:val="22"/>
          <w:szCs w:val="22"/>
          <w:highlight w:val="none"/>
        </w:rPr>
        <w:t>一、总则</w:t>
      </w:r>
      <w:bookmarkEnd w:id="93"/>
      <w:bookmarkEnd w:id="94"/>
      <w:bookmarkEnd w:id="95"/>
    </w:p>
    <w:p w14:paraId="1C40406D">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01BDD0D">
      <w:pPr>
        <w:pStyle w:val="14"/>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6" w:name="_Toc24880"/>
      <w:bookmarkStart w:id="97" w:name="_Toc11447"/>
      <w:bookmarkStart w:id="98" w:name="_Toc29171"/>
      <w:r>
        <w:rPr>
          <w:rFonts w:hint="eastAsia" w:ascii="宋体" w:hAnsi="宋体" w:eastAsia="宋体" w:cs="宋体"/>
          <w:color w:val="auto"/>
          <w:sz w:val="22"/>
          <w:szCs w:val="22"/>
          <w:highlight w:val="none"/>
        </w:rPr>
        <w:t>二．评标组织</w:t>
      </w:r>
      <w:bookmarkEnd w:id="96"/>
      <w:bookmarkEnd w:id="97"/>
      <w:bookmarkEnd w:id="98"/>
    </w:p>
    <w:p w14:paraId="1942302F">
      <w:pPr>
        <w:pStyle w:val="14"/>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4339749">
      <w:pPr>
        <w:pStyle w:val="55"/>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99" w:name="_Toc5227"/>
      <w:bookmarkStart w:id="100" w:name="_Toc5207"/>
      <w:bookmarkStart w:id="101" w:name="_Toc16062"/>
      <w:r>
        <w:rPr>
          <w:rFonts w:hint="eastAsia" w:ascii="宋体" w:hAnsi="宋体" w:eastAsia="宋体" w:cs="宋体"/>
          <w:b w:val="0"/>
          <w:color w:val="auto"/>
          <w:kern w:val="2"/>
          <w:sz w:val="22"/>
          <w:szCs w:val="22"/>
          <w:highlight w:val="none"/>
        </w:rPr>
        <w:t>三、评标程序</w:t>
      </w:r>
      <w:bookmarkEnd w:id="99"/>
      <w:bookmarkEnd w:id="100"/>
      <w:bookmarkEnd w:id="101"/>
    </w:p>
    <w:p w14:paraId="5977C1CF">
      <w:pPr>
        <w:pStyle w:val="4"/>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2E21658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3B11AB3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6134B4">
      <w:pPr>
        <w:pStyle w:val="20"/>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10266E2F">
      <w:pPr>
        <w:pStyle w:val="20"/>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686BC1C5">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54816E0E">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CE97C6F">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502AAF4F">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02" w:name="_Toc23951"/>
      <w:bookmarkStart w:id="103" w:name="_Toc10562"/>
      <w:bookmarkStart w:id="104" w:name="_Toc22630"/>
      <w:r>
        <w:rPr>
          <w:rFonts w:hint="eastAsia" w:ascii="宋体" w:hAnsi="宋体" w:eastAsia="宋体" w:cs="宋体"/>
          <w:b/>
          <w:color w:val="auto"/>
          <w:sz w:val="36"/>
          <w:szCs w:val="36"/>
          <w:highlight w:val="none"/>
        </w:rPr>
        <w:t>评标细则</w:t>
      </w:r>
      <w:bookmarkEnd w:id="102"/>
      <w:bookmarkEnd w:id="103"/>
      <w:bookmarkEnd w:id="104"/>
    </w:p>
    <w:p w14:paraId="60FF3DAC">
      <w:pPr>
        <w:pStyle w:val="12"/>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05" w:name="_Toc9058"/>
      <w:bookmarkStart w:id="106" w:name="_Toc20537"/>
      <w:bookmarkStart w:id="107"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05"/>
      <w:bookmarkEnd w:id="106"/>
      <w:bookmarkEnd w:id="107"/>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2DDC62D">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%×100；</w:t>
      </w:r>
    </w:p>
    <w:p w14:paraId="6843C42E">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6C8352B1">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271AED97">
      <w:pPr>
        <w:pStyle w:val="12"/>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08" w:name="_Toc23612"/>
      <w:bookmarkStart w:id="109" w:name="_Toc11731"/>
      <w:bookmarkStart w:id="110"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08"/>
      <w:bookmarkEnd w:id="109"/>
      <w:bookmarkEnd w:id="110"/>
    </w:p>
    <w:tbl>
      <w:tblPr>
        <w:tblStyle w:val="2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05"/>
        <w:gridCol w:w="5800"/>
        <w:gridCol w:w="749"/>
        <w:gridCol w:w="1140"/>
      </w:tblGrid>
      <w:tr w14:paraId="0F98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3897853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605" w:type="dxa"/>
            <w:noWrap w:val="0"/>
            <w:vAlign w:val="center"/>
          </w:tcPr>
          <w:p w14:paraId="13012EB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5800" w:type="dxa"/>
            <w:tcBorders>
              <w:left w:val="single" w:color="auto" w:sz="6" w:space="0"/>
            </w:tcBorders>
            <w:shd w:val="clear" w:color="auto" w:fill="auto"/>
            <w:noWrap w:val="0"/>
            <w:vAlign w:val="center"/>
          </w:tcPr>
          <w:p w14:paraId="3462A41F">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备注</w:t>
            </w:r>
          </w:p>
        </w:tc>
        <w:tc>
          <w:tcPr>
            <w:tcW w:w="749" w:type="dxa"/>
            <w:tcBorders>
              <w:left w:val="single" w:color="auto" w:sz="6" w:space="0"/>
            </w:tcBorders>
            <w:shd w:val="clear" w:color="auto" w:fill="auto"/>
            <w:noWrap w:val="0"/>
            <w:vAlign w:val="center"/>
          </w:tcPr>
          <w:p w14:paraId="628F368F">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分值</w:t>
            </w:r>
          </w:p>
        </w:tc>
        <w:tc>
          <w:tcPr>
            <w:tcW w:w="1140" w:type="dxa"/>
            <w:tcBorders>
              <w:left w:val="single" w:color="auto" w:sz="6" w:space="0"/>
            </w:tcBorders>
            <w:shd w:val="clear" w:color="auto" w:fill="auto"/>
            <w:noWrap w:val="0"/>
            <w:vAlign w:val="center"/>
          </w:tcPr>
          <w:p w14:paraId="4C865220">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评分方式</w:t>
            </w:r>
          </w:p>
        </w:tc>
      </w:tr>
      <w:tr w14:paraId="1954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auto"/>
            <w:noWrap w:val="0"/>
            <w:vAlign w:val="center"/>
          </w:tcPr>
          <w:p w14:paraId="69B76F34">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605" w:type="dxa"/>
            <w:shd w:val="clear" w:color="auto" w:fill="auto"/>
            <w:noWrap w:val="0"/>
            <w:vAlign w:val="center"/>
          </w:tcPr>
          <w:p w14:paraId="5C72A7DA">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类似项目业绩</w:t>
            </w:r>
          </w:p>
        </w:tc>
        <w:tc>
          <w:tcPr>
            <w:tcW w:w="5800" w:type="dxa"/>
            <w:tcBorders>
              <w:left w:val="single" w:color="auto" w:sz="6" w:space="0"/>
            </w:tcBorders>
            <w:shd w:val="clear" w:color="auto" w:fill="auto"/>
            <w:noWrap w:val="0"/>
            <w:vAlign w:val="center"/>
          </w:tcPr>
          <w:p w14:paraId="5445D941">
            <w:pPr>
              <w:keepNext w:val="0"/>
              <w:keepLines w:val="0"/>
              <w:suppressLineNumbers w:val="0"/>
              <w:wordWrap w:val="0"/>
              <w:spacing w:before="0" w:beforeAutospacing="0" w:after="0" w:afterAutospacing="0"/>
              <w:ind w:left="0" w:leftChars="0" w:right="0" w:rightChar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投标人自20</w:t>
            </w: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年1月1日起至今</w:t>
            </w:r>
            <w:r>
              <w:rPr>
                <w:rFonts w:hint="eastAsia" w:ascii="宋体" w:hAnsi="宋体" w:eastAsia="宋体" w:cs="宋体"/>
                <w:color w:val="auto"/>
                <w:sz w:val="22"/>
                <w:szCs w:val="22"/>
                <w:highlight w:val="none"/>
                <w:lang w:val="en-US" w:eastAsia="zh-CN"/>
              </w:rPr>
              <w:t>完成过</w:t>
            </w:r>
            <w:r>
              <w:rPr>
                <w:rFonts w:hint="eastAsia" w:ascii="宋体" w:hAnsi="宋体" w:cs="宋体"/>
                <w:color w:val="auto"/>
                <w:sz w:val="22"/>
                <w:szCs w:val="22"/>
                <w:highlight w:val="none"/>
                <w:lang w:val="en-US" w:eastAsia="zh-CN"/>
              </w:rPr>
              <w:t>类似</w:t>
            </w:r>
            <w:r>
              <w:rPr>
                <w:rFonts w:hint="eastAsia" w:ascii="宋体" w:hAnsi="宋体" w:eastAsia="宋体" w:cs="宋体"/>
                <w:color w:val="auto"/>
                <w:sz w:val="22"/>
                <w:szCs w:val="22"/>
                <w:highlight w:val="none"/>
              </w:rPr>
              <w:t>城乡规划项目的业绩，每提供一个项目得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3E402FA8">
            <w:pPr>
              <w:keepNext w:val="0"/>
              <w:keepLines w:val="0"/>
              <w:suppressLineNumbers w:val="0"/>
              <w:wordWrap w:val="0"/>
              <w:spacing w:before="0" w:beforeAutospacing="0" w:after="0" w:afterAutospacing="0"/>
              <w:ind w:left="0" w:leftChars="0" w:right="0" w:rightChars="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lang w:val="en-US" w:eastAsia="zh-CN"/>
              </w:rPr>
              <w:t>须</w:t>
            </w:r>
            <w:r>
              <w:rPr>
                <w:rFonts w:hint="eastAsia" w:ascii="宋体" w:hAnsi="宋体" w:eastAsia="宋体" w:cs="宋体"/>
                <w:b/>
                <w:bCs/>
                <w:color w:val="auto"/>
                <w:sz w:val="22"/>
                <w:szCs w:val="22"/>
                <w:highlight w:val="none"/>
              </w:rPr>
              <w:t>提供合同复印件</w:t>
            </w:r>
            <w:r>
              <w:rPr>
                <w:rFonts w:hint="eastAsia" w:ascii="宋体" w:hAnsi="宋体" w:eastAsia="宋体" w:cs="宋体"/>
                <w:b/>
                <w:bCs/>
                <w:color w:val="auto"/>
                <w:sz w:val="22"/>
                <w:szCs w:val="22"/>
                <w:highlight w:val="none"/>
                <w:lang w:val="en-US" w:eastAsia="zh-CN"/>
              </w:rPr>
              <w:t>加盖公章</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未提供</w:t>
            </w:r>
            <w:r>
              <w:rPr>
                <w:rFonts w:hint="eastAsia" w:ascii="宋体" w:hAnsi="宋体" w:eastAsia="宋体" w:cs="宋体"/>
                <w:b/>
                <w:bCs/>
                <w:color w:val="auto"/>
                <w:sz w:val="22"/>
                <w:szCs w:val="22"/>
                <w:highlight w:val="none"/>
              </w:rPr>
              <w:t>不得分</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时间以合同签订时间为准。</w:t>
            </w:r>
          </w:p>
        </w:tc>
        <w:tc>
          <w:tcPr>
            <w:tcW w:w="749" w:type="dxa"/>
            <w:tcBorders>
              <w:left w:val="single" w:color="auto" w:sz="6" w:space="0"/>
            </w:tcBorders>
            <w:shd w:val="clear" w:color="auto" w:fill="auto"/>
            <w:noWrap w:val="0"/>
            <w:vAlign w:val="center"/>
          </w:tcPr>
          <w:p w14:paraId="13BB5CEF">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6分</w:t>
            </w:r>
          </w:p>
        </w:tc>
        <w:tc>
          <w:tcPr>
            <w:tcW w:w="1140" w:type="dxa"/>
            <w:tcBorders>
              <w:left w:val="single" w:color="auto" w:sz="6" w:space="0"/>
            </w:tcBorders>
            <w:shd w:val="clear" w:color="auto" w:fill="auto"/>
            <w:noWrap w:val="0"/>
            <w:vAlign w:val="center"/>
          </w:tcPr>
          <w:p w14:paraId="68C88485">
            <w:pPr>
              <w:keepNext w:val="0"/>
              <w:keepLines w:val="0"/>
              <w:suppressLineNumbers w:val="0"/>
              <w:wordWrap w:val="0"/>
              <w:spacing w:before="0" w:beforeAutospacing="0" w:after="0" w:afterAutospacing="0"/>
              <w:ind w:left="0" w:leftChars="0" w:right="0" w:rightChars="0"/>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3E98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auto"/>
            <w:noWrap w:val="0"/>
            <w:vAlign w:val="center"/>
          </w:tcPr>
          <w:p w14:paraId="25B514CD">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c>
          <w:tcPr>
            <w:tcW w:w="1605" w:type="dxa"/>
            <w:shd w:val="clear" w:color="auto" w:fill="auto"/>
            <w:noWrap w:val="0"/>
            <w:vAlign w:val="center"/>
          </w:tcPr>
          <w:p w14:paraId="361CDB37">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企业认证体系</w:t>
            </w:r>
          </w:p>
        </w:tc>
        <w:tc>
          <w:tcPr>
            <w:tcW w:w="5800" w:type="dxa"/>
            <w:tcBorders>
              <w:left w:val="single" w:color="auto" w:sz="6" w:space="0"/>
            </w:tcBorders>
            <w:shd w:val="clear" w:color="auto" w:fill="auto"/>
            <w:noWrap w:val="0"/>
            <w:vAlign w:val="center"/>
          </w:tcPr>
          <w:p w14:paraId="2D2FC527">
            <w:pPr>
              <w:keepNext w:val="0"/>
              <w:keepLines w:val="0"/>
              <w:suppressLineNumbers w:val="0"/>
              <w:wordWrap w:val="0"/>
              <w:spacing w:before="0" w:beforeAutospacing="0" w:after="0" w:afterAutospacing="0"/>
              <w:ind w:left="0" w:leftChars="0" w:right="0" w:rightChars="0"/>
              <w:jc w:val="left"/>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投标人同时具有有效的质量体系认证、环境管理体系认证、职业健康安全体系认证的得3分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缺项不得分</w:t>
            </w:r>
            <w:r>
              <w:rPr>
                <w:rFonts w:hint="eastAsia" w:ascii="宋体" w:hAnsi="宋体" w:cs="宋体"/>
                <w:color w:val="auto"/>
                <w:sz w:val="22"/>
                <w:szCs w:val="22"/>
                <w:highlight w:val="none"/>
                <w:lang w:eastAsia="zh-CN"/>
              </w:rPr>
              <w:t>。</w:t>
            </w:r>
          </w:p>
          <w:p w14:paraId="6A7FEE47">
            <w:pPr>
              <w:keepNext w:val="0"/>
              <w:keepLines w:val="0"/>
              <w:suppressLineNumbers w:val="0"/>
              <w:wordWrap w:val="0"/>
              <w:spacing w:before="0" w:beforeAutospacing="0" w:after="0" w:afterAutospacing="0"/>
              <w:ind w:left="0" w:leftChars="0" w:right="0" w:rightChars="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rPr>
              <w:t>提供有效的认证证书复印件及全国认证认可信息公共服务平台网站截图</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未提供</w:t>
            </w:r>
            <w:r>
              <w:rPr>
                <w:rFonts w:hint="eastAsia" w:ascii="宋体" w:hAnsi="宋体" w:eastAsia="宋体" w:cs="宋体"/>
                <w:b/>
                <w:bCs/>
                <w:color w:val="auto"/>
                <w:sz w:val="22"/>
                <w:szCs w:val="22"/>
                <w:highlight w:val="none"/>
              </w:rPr>
              <w:t>不得分。</w:t>
            </w:r>
          </w:p>
        </w:tc>
        <w:tc>
          <w:tcPr>
            <w:tcW w:w="749" w:type="dxa"/>
            <w:tcBorders>
              <w:left w:val="single" w:color="auto" w:sz="6" w:space="0"/>
            </w:tcBorders>
            <w:shd w:val="clear" w:color="auto" w:fill="auto"/>
            <w:noWrap w:val="0"/>
            <w:vAlign w:val="center"/>
          </w:tcPr>
          <w:p w14:paraId="6335A15B">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3分</w:t>
            </w:r>
          </w:p>
        </w:tc>
        <w:tc>
          <w:tcPr>
            <w:tcW w:w="1140" w:type="dxa"/>
            <w:tcBorders>
              <w:left w:val="single" w:color="auto" w:sz="6" w:space="0"/>
            </w:tcBorders>
            <w:shd w:val="clear" w:color="auto" w:fill="auto"/>
            <w:noWrap w:val="0"/>
            <w:vAlign w:val="center"/>
          </w:tcPr>
          <w:p w14:paraId="733B0C01">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6BF2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auto"/>
            <w:noWrap w:val="0"/>
            <w:vAlign w:val="center"/>
          </w:tcPr>
          <w:p w14:paraId="6DB3ADE0">
            <w:pPr>
              <w:keepNext w:val="0"/>
              <w:keepLines w:val="0"/>
              <w:suppressLineNumbers w:val="0"/>
              <w:wordWrap w:val="0"/>
              <w:spacing w:before="0" w:beforeAutospacing="0" w:after="0" w:afterAutospacing="0"/>
              <w:ind w:left="0" w:leftChars="0" w:right="0" w:rightChars="0"/>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p>
        </w:tc>
        <w:tc>
          <w:tcPr>
            <w:tcW w:w="1605" w:type="dxa"/>
            <w:shd w:val="clear" w:color="auto" w:fill="auto"/>
            <w:noWrap w:val="0"/>
            <w:vAlign w:val="center"/>
          </w:tcPr>
          <w:p w14:paraId="08BCDD8F">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规划奖项</w:t>
            </w:r>
          </w:p>
        </w:tc>
        <w:tc>
          <w:tcPr>
            <w:tcW w:w="5800" w:type="dxa"/>
            <w:tcBorders>
              <w:left w:val="single" w:color="auto" w:sz="6" w:space="0"/>
            </w:tcBorders>
            <w:shd w:val="clear" w:color="auto" w:fill="auto"/>
            <w:noWrap w:val="0"/>
            <w:vAlign w:val="center"/>
          </w:tcPr>
          <w:p w14:paraId="59441C36">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投标人自20</w:t>
            </w:r>
            <w:r>
              <w:rPr>
                <w:rFonts w:hint="eastAsia" w:ascii="宋体" w:hAnsi="宋体" w:cs="宋体"/>
                <w:color w:val="auto"/>
                <w:szCs w:val="22"/>
                <w:highlight w:val="none"/>
                <w:lang w:val="en-US" w:eastAsia="zh-CN"/>
              </w:rPr>
              <w:t>22</w:t>
            </w:r>
            <w:r>
              <w:rPr>
                <w:rFonts w:hint="eastAsia" w:ascii="宋体" w:hAnsi="宋体" w:eastAsia="宋体" w:cs="宋体"/>
                <w:color w:val="auto"/>
                <w:szCs w:val="22"/>
                <w:highlight w:val="none"/>
              </w:rPr>
              <w:t>年1月1日起至今获城乡规划设计类奖，国家级奖项的得4分</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省级奖项的得2分</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w:t>
            </w:r>
            <w:r>
              <w:rPr>
                <w:rFonts w:hint="eastAsia" w:ascii="宋体" w:hAnsi="宋体" w:cs="宋体"/>
                <w:color w:val="auto"/>
                <w:szCs w:val="22"/>
                <w:highlight w:val="none"/>
                <w:lang w:val="en-US" w:eastAsia="zh-CN"/>
              </w:rPr>
              <w:t>多个奖项仅计分值的最高1个奖项，</w:t>
            </w:r>
            <w:r>
              <w:rPr>
                <w:rFonts w:hint="eastAsia" w:ascii="宋体" w:hAnsi="宋体" w:eastAsia="宋体" w:cs="宋体"/>
                <w:color w:val="auto"/>
                <w:szCs w:val="22"/>
                <w:highlight w:val="none"/>
              </w:rPr>
              <w:t>提供所获奖项的复印件加盖公章，</w:t>
            </w:r>
            <w:r>
              <w:rPr>
                <w:rFonts w:hint="eastAsia" w:ascii="宋体" w:hAnsi="宋体" w:eastAsia="宋体" w:cs="宋体"/>
                <w:color w:val="auto"/>
                <w:szCs w:val="22"/>
                <w:highlight w:val="none"/>
                <w:lang w:val="en-US" w:eastAsia="zh-CN"/>
              </w:rPr>
              <w:t>未提供</w:t>
            </w:r>
            <w:r>
              <w:rPr>
                <w:rFonts w:hint="eastAsia" w:ascii="宋体" w:hAnsi="宋体" w:eastAsia="宋体" w:cs="宋体"/>
                <w:color w:val="auto"/>
                <w:szCs w:val="22"/>
                <w:highlight w:val="none"/>
              </w:rPr>
              <w:t>不得分</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w:t>
            </w:r>
          </w:p>
          <w:p w14:paraId="5438097B">
            <w:pPr>
              <w:keepNext w:val="0"/>
              <w:keepLines w:val="0"/>
              <w:suppressLineNumbers w:val="0"/>
              <w:wordWrap w:val="0"/>
              <w:spacing w:before="0" w:beforeAutospacing="0" w:after="0" w:afterAutospacing="0"/>
              <w:ind w:left="0" w:right="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2"/>
                <w:highlight w:val="none"/>
              </w:rPr>
              <w:t>注：如有获奖的获奖项目须为中国境内的项目，奖项根据规划行政主管部门或中国城市规划协会颁发的文件或证书确认，时间以获奖证书或文件的颁发时间为准，否则不得分。</w:t>
            </w:r>
          </w:p>
        </w:tc>
        <w:tc>
          <w:tcPr>
            <w:tcW w:w="749" w:type="dxa"/>
            <w:tcBorders>
              <w:left w:val="single" w:color="auto" w:sz="6" w:space="0"/>
            </w:tcBorders>
            <w:shd w:val="clear" w:color="auto" w:fill="auto"/>
            <w:noWrap w:val="0"/>
            <w:vAlign w:val="center"/>
          </w:tcPr>
          <w:p w14:paraId="5ECF4B6A">
            <w:pPr>
              <w:keepNext w:val="0"/>
              <w:keepLines w:val="0"/>
              <w:suppressLineNumbers w:val="0"/>
              <w:wordWrap w:val="0"/>
              <w:spacing w:before="0" w:beforeAutospacing="0" w:after="0" w:afterAutospacing="0"/>
              <w:ind w:left="0" w:leftChars="0" w:right="0" w:rightChars="0"/>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4分</w:t>
            </w:r>
          </w:p>
        </w:tc>
        <w:tc>
          <w:tcPr>
            <w:tcW w:w="1140" w:type="dxa"/>
            <w:tcBorders>
              <w:left w:val="single" w:color="auto" w:sz="6" w:space="0"/>
            </w:tcBorders>
            <w:shd w:val="clear" w:color="auto" w:fill="auto"/>
            <w:noWrap w:val="0"/>
            <w:vAlign w:val="center"/>
          </w:tcPr>
          <w:p w14:paraId="4338EA54">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4B2B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6ED05C87">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605" w:type="dxa"/>
            <w:noWrap w:val="0"/>
            <w:vAlign w:val="center"/>
          </w:tcPr>
          <w:p w14:paraId="61A1493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对本次项目背景和意义的认知和理解</w:t>
            </w:r>
          </w:p>
        </w:tc>
        <w:tc>
          <w:tcPr>
            <w:tcW w:w="5800" w:type="dxa"/>
            <w:tcBorders>
              <w:left w:val="single" w:color="auto" w:sz="6" w:space="0"/>
            </w:tcBorders>
            <w:shd w:val="clear" w:color="auto" w:fill="auto"/>
            <w:noWrap w:val="0"/>
            <w:vAlign w:val="center"/>
          </w:tcPr>
          <w:p w14:paraId="160AF0B2">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根据供应商针</w:t>
            </w:r>
            <w:r>
              <w:rPr>
                <w:rFonts w:hint="eastAsia" w:ascii="宋体" w:hAnsi="宋体" w:eastAsia="宋体" w:cs="宋体"/>
                <w:color w:val="auto"/>
                <w:sz w:val="22"/>
                <w:szCs w:val="22"/>
                <w:highlight w:val="none"/>
              </w:rPr>
              <w:t>对项目的背景、项目意义</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对上层规划和相关规划的认识和理解</w:t>
            </w:r>
            <w:r>
              <w:rPr>
                <w:rFonts w:hint="eastAsia" w:ascii="宋体" w:hAnsi="宋体" w:cs="宋体"/>
                <w:color w:val="auto"/>
                <w:sz w:val="22"/>
                <w:szCs w:val="22"/>
                <w:highlight w:val="none"/>
                <w:lang w:val="en-US" w:eastAsia="zh-CN"/>
              </w:rPr>
              <w:t>等</w:t>
            </w:r>
            <w:r>
              <w:rPr>
                <w:rFonts w:hint="eastAsia" w:ascii="宋体" w:hAnsi="宋体" w:eastAsia="宋体" w:cs="宋体"/>
                <w:color w:val="auto"/>
                <w:sz w:val="22"/>
                <w:szCs w:val="22"/>
                <w:highlight w:val="none"/>
              </w:rPr>
              <w:t>情况</w:t>
            </w:r>
            <w:r>
              <w:rPr>
                <w:rFonts w:hint="eastAsia" w:ascii="宋体" w:hAnsi="宋体" w:cs="宋体"/>
                <w:color w:val="auto"/>
                <w:sz w:val="22"/>
                <w:szCs w:val="22"/>
                <w:highlight w:val="none"/>
                <w:lang w:val="en-US" w:eastAsia="zh-CN"/>
              </w:rPr>
              <w:t>方案</w:t>
            </w:r>
            <w:r>
              <w:rPr>
                <w:rFonts w:hint="eastAsia" w:ascii="宋体" w:hAnsi="宋体" w:cs="宋体"/>
                <w:color w:val="auto"/>
                <w:sz w:val="22"/>
                <w:szCs w:val="22"/>
                <w:highlight w:val="none"/>
                <w:lang w:eastAsia="zh-CN"/>
              </w:rPr>
              <w:t>进行评分，缺项不得分。</w:t>
            </w:r>
          </w:p>
          <w:p w14:paraId="7F9C377D">
            <w:pPr>
              <w:keepNext w:val="0"/>
              <w:keepLines w:val="0"/>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left w:val="single" w:color="auto" w:sz="6" w:space="0"/>
            </w:tcBorders>
            <w:shd w:val="clear" w:color="auto" w:fill="auto"/>
            <w:noWrap w:val="0"/>
            <w:vAlign w:val="center"/>
          </w:tcPr>
          <w:p w14:paraId="69A5BD3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left w:val="single" w:color="auto" w:sz="6" w:space="0"/>
            </w:tcBorders>
            <w:shd w:val="clear" w:color="auto" w:fill="auto"/>
            <w:noWrap w:val="0"/>
            <w:vAlign w:val="center"/>
          </w:tcPr>
          <w:p w14:paraId="4E93BE49">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6A3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055C1888">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1605" w:type="dxa"/>
            <w:noWrap w:val="0"/>
            <w:vAlign w:val="center"/>
          </w:tcPr>
          <w:p w14:paraId="38D2285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对现状情况的认识、现状问题分析与理解</w:t>
            </w:r>
          </w:p>
        </w:tc>
        <w:tc>
          <w:tcPr>
            <w:tcW w:w="5800" w:type="dxa"/>
            <w:tcBorders>
              <w:left w:val="single" w:color="auto" w:sz="6" w:space="0"/>
            </w:tcBorders>
            <w:shd w:val="clear" w:color="auto" w:fill="auto"/>
            <w:noWrap w:val="0"/>
            <w:vAlign w:val="center"/>
          </w:tcPr>
          <w:p w14:paraId="2039C1A9">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根据供应商针</w:t>
            </w:r>
            <w:r>
              <w:rPr>
                <w:rFonts w:hint="eastAsia" w:ascii="宋体" w:hAnsi="宋体" w:eastAsia="宋体" w:cs="宋体"/>
                <w:color w:val="auto"/>
                <w:sz w:val="22"/>
                <w:szCs w:val="22"/>
                <w:highlight w:val="none"/>
              </w:rPr>
              <w:t>对</w:t>
            </w:r>
            <w:r>
              <w:rPr>
                <w:rFonts w:hint="eastAsia" w:ascii="宋体" w:hAnsi="宋体" w:eastAsia="宋体" w:cs="宋体"/>
                <w:color w:val="auto"/>
                <w:sz w:val="22"/>
                <w:highlight w:val="none"/>
              </w:rPr>
              <w:t>规划区内现状情况的整理与分析</w:t>
            </w:r>
            <w:r>
              <w:rPr>
                <w:rFonts w:hint="eastAsia" w:ascii="宋体" w:hAnsi="宋体" w:cs="宋体"/>
                <w:color w:val="auto"/>
                <w:sz w:val="22"/>
                <w:highlight w:val="none"/>
                <w:lang w:eastAsia="zh-CN"/>
              </w:rPr>
              <w:t>进行评分，缺项不得分。</w:t>
            </w:r>
          </w:p>
          <w:p w14:paraId="0F8DA4F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2"/>
                <w:sz w:val="22"/>
                <w:szCs w:val="24"/>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left w:val="single" w:color="auto" w:sz="6" w:space="0"/>
            </w:tcBorders>
            <w:shd w:val="clear" w:color="auto" w:fill="auto"/>
            <w:noWrap w:val="0"/>
            <w:vAlign w:val="center"/>
          </w:tcPr>
          <w:p w14:paraId="584E053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left w:val="single" w:color="auto" w:sz="6" w:space="0"/>
            </w:tcBorders>
            <w:shd w:val="clear" w:color="auto" w:fill="auto"/>
            <w:noWrap w:val="0"/>
            <w:vAlign w:val="center"/>
          </w:tcPr>
          <w:p w14:paraId="31D6043F">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002F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restart"/>
            <w:noWrap w:val="0"/>
            <w:vAlign w:val="center"/>
          </w:tcPr>
          <w:p w14:paraId="4D8A15FE">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6</w:t>
            </w:r>
          </w:p>
        </w:tc>
        <w:tc>
          <w:tcPr>
            <w:tcW w:w="1605" w:type="dxa"/>
            <w:vMerge w:val="restart"/>
            <w:tcBorders>
              <w:top w:val="single" w:color="auto" w:sz="8" w:space="0"/>
            </w:tcBorders>
            <w:noWrap w:val="0"/>
            <w:vAlign w:val="center"/>
          </w:tcPr>
          <w:p w14:paraId="4D11BF8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规划方案</w:t>
            </w:r>
          </w:p>
        </w:tc>
        <w:tc>
          <w:tcPr>
            <w:tcW w:w="5800" w:type="dxa"/>
            <w:tcBorders>
              <w:top w:val="single" w:color="auto" w:sz="8" w:space="0"/>
              <w:left w:val="single" w:color="auto" w:sz="6" w:space="0"/>
              <w:bottom w:val="single" w:color="auto" w:sz="4" w:space="0"/>
            </w:tcBorders>
            <w:shd w:val="clear" w:color="auto" w:fill="auto"/>
            <w:noWrap w:val="0"/>
            <w:vAlign w:val="center"/>
          </w:tcPr>
          <w:p w14:paraId="459D4C4F">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根据供应商针</w:t>
            </w:r>
            <w:r>
              <w:rPr>
                <w:rFonts w:hint="eastAsia" w:ascii="宋体" w:hAnsi="宋体" w:eastAsia="宋体" w:cs="宋体"/>
                <w:color w:val="auto"/>
                <w:sz w:val="22"/>
                <w:highlight w:val="none"/>
              </w:rPr>
              <w:t>对总体规划方案</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规划方案内容，方案构思，规划结构，空间布局，工程定位，整体空间，与国土空间优化的方案</w:t>
            </w:r>
            <w:r>
              <w:rPr>
                <w:rFonts w:hint="eastAsia" w:ascii="宋体" w:hAnsi="宋体" w:cs="宋体"/>
                <w:color w:val="auto"/>
                <w:sz w:val="22"/>
                <w:highlight w:val="none"/>
                <w:lang w:val="en-US" w:eastAsia="zh-CN"/>
              </w:rPr>
              <w:t>等方面进行评分，缺项不得分。</w:t>
            </w:r>
          </w:p>
          <w:p w14:paraId="1E074F27">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2"/>
                <w:szCs w:val="24"/>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top w:val="single" w:color="auto" w:sz="8" w:space="0"/>
              <w:left w:val="single" w:color="auto" w:sz="6" w:space="0"/>
              <w:bottom w:val="single" w:color="auto" w:sz="4" w:space="0"/>
            </w:tcBorders>
            <w:shd w:val="clear" w:color="auto" w:fill="auto"/>
            <w:noWrap w:val="0"/>
            <w:vAlign w:val="center"/>
          </w:tcPr>
          <w:p w14:paraId="7748068C">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top w:val="single" w:color="auto" w:sz="8" w:space="0"/>
              <w:left w:val="single" w:color="auto" w:sz="6" w:space="0"/>
              <w:bottom w:val="single" w:color="auto" w:sz="4" w:space="0"/>
            </w:tcBorders>
            <w:shd w:val="clear" w:color="auto" w:fill="auto"/>
            <w:noWrap w:val="0"/>
            <w:vAlign w:val="center"/>
          </w:tcPr>
          <w:p w14:paraId="1390EFC4">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0CFC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10ED4FAB">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rPr>
            </w:pPr>
          </w:p>
        </w:tc>
        <w:tc>
          <w:tcPr>
            <w:tcW w:w="1605" w:type="dxa"/>
            <w:vMerge w:val="continue"/>
            <w:noWrap w:val="0"/>
            <w:vAlign w:val="center"/>
          </w:tcPr>
          <w:p w14:paraId="048CA28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800" w:type="dxa"/>
            <w:tcBorders>
              <w:top w:val="single" w:color="auto" w:sz="4" w:space="0"/>
              <w:left w:val="single" w:color="auto" w:sz="6" w:space="0"/>
              <w:bottom w:val="single" w:color="auto" w:sz="4" w:space="0"/>
            </w:tcBorders>
            <w:shd w:val="clear" w:color="auto" w:fill="auto"/>
            <w:noWrap w:val="0"/>
            <w:vAlign w:val="center"/>
          </w:tcPr>
          <w:p w14:paraId="5113375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根据供应商针</w:t>
            </w:r>
            <w:r>
              <w:rPr>
                <w:rFonts w:hint="eastAsia" w:ascii="宋体" w:hAnsi="宋体" w:eastAsia="宋体" w:cs="宋体"/>
                <w:color w:val="auto"/>
                <w:sz w:val="22"/>
                <w:szCs w:val="22"/>
                <w:highlight w:val="none"/>
              </w:rPr>
              <w:t>对规划布局</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区域协调</w:t>
            </w:r>
            <w:r>
              <w:rPr>
                <w:rFonts w:hint="eastAsia" w:ascii="宋体" w:hAnsi="宋体" w:cs="宋体"/>
                <w:color w:val="auto"/>
                <w:sz w:val="22"/>
                <w:szCs w:val="22"/>
                <w:highlight w:val="none"/>
                <w:lang w:val="en-US" w:eastAsia="zh-CN"/>
              </w:rPr>
              <w:t>性进行评分，缺项不得分。</w:t>
            </w:r>
          </w:p>
          <w:p w14:paraId="7FD4C46F">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top w:val="single" w:color="auto" w:sz="4" w:space="0"/>
              <w:left w:val="single" w:color="auto" w:sz="6" w:space="0"/>
              <w:bottom w:val="single" w:color="auto" w:sz="4" w:space="0"/>
            </w:tcBorders>
            <w:shd w:val="clear" w:color="auto" w:fill="auto"/>
            <w:noWrap w:val="0"/>
            <w:vAlign w:val="center"/>
          </w:tcPr>
          <w:p w14:paraId="18EDFA83">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top w:val="single" w:color="auto" w:sz="4" w:space="0"/>
              <w:left w:val="single" w:color="auto" w:sz="6" w:space="0"/>
              <w:bottom w:val="single" w:color="auto" w:sz="4" w:space="0"/>
            </w:tcBorders>
            <w:shd w:val="clear" w:color="auto" w:fill="auto"/>
            <w:noWrap w:val="0"/>
            <w:vAlign w:val="center"/>
          </w:tcPr>
          <w:p w14:paraId="02ED23A8">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5453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0463A187">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rPr>
            </w:pPr>
          </w:p>
        </w:tc>
        <w:tc>
          <w:tcPr>
            <w:tcW w:w="1605" w:type="dxa"/>
            <w:vMerge w:val="continue"/>
            <w:noWrap w:val="0"/>
            <w:vAlign w:val="center"/>
          </w:tcPr>
          <w:p w14:paraId="2BAC00A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800" w:type="dxa"/>
            <w:tcBorders>
              <w:top w:val="single" w:color="auto" w:sz="4" w:space="0"/>
              <w:left w:val="single" w:color="auto" w:sz="6" w:space="0"/>
            </w:tcBorders>
            <w:shd w:val="clear" w:color="auto" w:fill="auto"/>
            <w:noWrap w:val="0"/>
            <w:vAlign w:val="center"/>
          </w:tcPr>
          <w:p w14:paraId="0F0D85A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根据供应商针</w:t>
            </w:r>
            <w:r>
              <w:rPr>
                <w:rFonts w:hint="eastAsia" w:ascii="宋体" w:hAnsi="宋体" w:eastAsia="宋体" w:cs="宋体"/>
                <w:color w:val="auto"/>
                <w:sz w:val="22"/>
                <w:szCs w:val="22"/>
                <w:highlight w:val="none"/>
              </w:rPr>
              <w:t>对规划方案空间</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与周边城市空间形态相融合形态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空间布局</w:t>
            </w:r>
            <w:r>
              <w:rPr>
                <w:rFonts w:hint="eastAsia" w:ascii="宋体" w:hAnsi="宋体" w:cs="宋体"/>
                <w:color w:val="auto"/>
                <w:sz w:val="22"/>
                <w:szCs w:val="22"/>
                <w:highlight w:val="none"/>
                <w:lang w:val="en-US" w:eastAsia="zh-CN"/>
              </w:rPr>
              <w:t>等进行评分，缺项不得分。</w:t>
            </w:r>
          </w:p>
          <w:p w14:paraId="70D84F34">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top w:val="single" w:color="auto" w:sz="4" w:space="0"/>
              <w:left w:val="single" w:color="auto" w:sz="6" w:space="0"/>
            </w:tcBorders>
            <w:shd w:val="clear" w:color="auto" w:fill="auto"/>
            <w:noWrap w:val="0"/>
            <w:vAlign w:val="center"/>
          </w:tcPr>
          <w:p w14:paraId="69FE5984">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top w:val="single" w:color="auto" w:sz="4" w:space="0"/>
              <w:left w:val="single" w:color="auto" w:sz="6" w:space="0"/>
            </w:tcBorders>
            <w:shd w:val="clear" w:color="auto" w:fill="auto"/>
            <w:noWrap w:val="0"/>
            <w:vAlign w:val="center"/>
          </w:tcPr>
          <w:p w14:paraId="1BE6735F">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2406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68DA352B">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rPr>
            </w:pPr>
          </w:p>
        </w:tc>
        <w:tc>
          <w:tcPr>
            <w:tcW w:w="1605" w:type="dxa"/>
            <w:vMerge w:val="continue"/>
            <w:noWrap w:val="0"/>
            <w:vAlign w:val="center"/>
          </w:tcPr>
          <w:p w14:paraId="4AD7691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800" w:type="dxa"/>
            <w:tcBorders>
              <w:top w:val="single" w:color="auto" w:sz="4" w:space="0"/>
              <w:left w:val="single" w:color="auto" w:sz="6" w:space="0"/>
            </w:tcBorders>
            <w:shd w:val="clear" w:color="auto" w:fill="auto"/>
            <w:noWrap w:val="0"/>
            <w:vAlign w:val="center"/>
          </w:tcPr>
          <w:p w14:paraId="4EC187E5">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对控制性详细规划内容</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图纸</w:t>
            </w:r>
            <w:r>
              <w:rPr>
                <w:rFonts w:hint="eastAsia" w:ascii="宋体" w:hAnsi="宋体" w:cs="宋体"/>
                <w:color w:val="auto"/>
                <w:sz w:val="22"/>
                <w:szCs w:val="22"/>
                <w:highlight w:val="none"/>
                <w:lang w:eastAsia="zh-CN"/>
              </w:rPr>
              <w:t>进行评分，缺项不得分。</w:t>
            </w:r>
          </w:p>
          <w:p w14:paraId="1142951B">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（打分范围：8、6、4、2、0）</w:t>
            </w:r>
          </w:p>
        </w:tc>
        <w:tc>
          <w:tcPr>
            <w:tcW w:w="749" w:type="dxa"/>
            <w:tcBorders>
              <w:top w:val="single" w:color="auto" w:sz="4" w:space="0"/>
              <w:left w:val="single" w:color="auto" w:sz="6" w:space="0"/>
            </w:tcBorders>
            <w:shd w:val="clear" w:color="auto" w:fill="auto"/>
            <w:noWrap w:val="0"/>
            <w:vAlign w:val="center"/>
          </w:tcPr>
          <w:p w14:paraId="7511037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8分</w:t>
            </w:r>
          </w:p>
        </w:tc>
        <w:tc>
          <w:tcPr>
            <w:tcW w:w="1140" w:type="dxa"/>
            <w:tcBorders>
              <w:top w:val="single" w:color="auto" w:sz="4" w:space="0"/>
              <w:left w:val="single" w:color="auto" w:sz="6" w:space="0"/>
            </w:tcBorders>
            <w:shd w:val="clear" w:color="auto" w:fill="auto"/>
            <w:noWrap w:val="0"/>
            <w:vAlign w:val="center"/>
          </w:tcPr>
          <w:p w14:paraId="5AA0A7E3">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4CB7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2F353413">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w:t>
            </w:r>
          </w:p>
        </w:tc>
        <w:tc>
          <w:tcPr>
            <w:tcW w:w="1605" w:type="dxa"/>
            <w:tcBorders>
              <w:top w:val="single" w:color="auto" w:sz="4" w:space="0"/>
              <w:bottom w:val="single" w:color="auto" w:sz="4" w:space="0"/>
            </w:tcBorders>
            <w:noWrap w:val="0"/>
            <w:vAlign w:val="center"/>
          </w:tcPr>
          <w:p w14:paraId="30E0425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工作进度计划及项目保证措施</w:t>
            </w:r>
          </w:p>
        </w:tc>
        <w:tc>
          <w:tcPr>
            <w:tcW w:w="5800" w:type="dxa"/>
            <w:tcBorders>
              <w:top w:val="single" w:color="auto" w:sz="8" w:space="0"/>
              <w:left w:val="single" w:color="auto" w:sz="6" w:space="0"/>
              <w:bottom w:val="single" w:color="auto" w:sz="8" w:space="0"/>
            </w:tcBorders>
            <w:shd w:val="clear" w:color="auto" w:fill="auto"/>
            <w:noWrap w:val="0"/>
            <w:vAlign w:val="center"/>
          </w:tcPr>
          <w:p w14:paraId="1738C868">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对项目进度安排是否科学、合理，规划设计成果质量保障措施</w:t>
            </w:r>
            <w:r>
              <w:rPr>
                <w:rFonts w:hint="eastAsia" w:ascii="宋体" w:hAnsi="宋体" w:cs="宋体"/>
                <w:color w:val="auto"/>
                <w:sz w:val="22"/>
                <w:szCs w:val="22"/>
                <w:highlight w:val="none"/>
                <w:lang w:val="en-US" w:eastAsia="zh-CN"/>
              </w:rPr>
              <w:t>方案进行评分，缺项不得分。</w:t>
            </w:r>
          </w:p>
          <w:p w14:paraId="2AFC8463">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（打分范围：7、5、3、1、0）</w:t>
            </w:r>
          </w:p>
        </w:tc>
        <w:tc>
          <w:tcPr>
            <w:tcW w:w="749" w:type="dxa"/>
            <w:tcBorders>
              <w:top w:val="single" w:color="auto" w:sz="8" w:space="0"/>
              <w:left w:val="single" w:color="auto" w:sz="6" w:space="0"/>
              <w:bottom w:val="single" w:color="auto" w:sz="8" w:space="0"/>
            </w:tcBorders>
            <w:shd w:val="clear" w:color="auto" w:fill="auto"/>
            <w:noWrap w:val="0"/>
            <w:vAlign w:val="center"/>
          </w:tcPr>
          <w:p w14:paraId="3AD5FC47">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7分</w:t>
            </w:r>
          </w:p>
        </w:tc>
        <w:tc>
          <w:tcPr>
            <w:tcW w:w="1140" w:type="dxa"/>
            <w:tcBorders>
              <w:top w:val="single" w:color="auto" w:sz="8" w:space="0"/>
              <w:left w:val="single" w:color="auto" w:sz="6" w:space="0"/>
              <w:bottom w:val="single" w:color="auto" w:sz="8" w:space="0"/>
            </w:tcBorders>
            <w:shd w:val="clear" w:color="auto" w:fill="auto"/>
            <w:noWrap w:val="0"/>
            <w:vAlign w:val="center"/>
          </w:tcPr>
          <w:p w14:paraId="47B7BDF7">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r w14:paraId="1C7A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55" w:type="dxa"/>
            <w:vMerge w:val="restart"/>
            <w:noWrap w:val="0"/>
            <w:vAlign w:val="center"/>
          </w:tcPr>
          <w:p w14:paraId="049E7CAC">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1605" w:type="dxa"/>
            <w:vMerge w:val="restart"/>
            <w:tcBorders>
              <w:top w:val="single" w:color="auto" w:sz="4" w:space="0"/>
            </w:tcBorders>
            <w:noWrap w:val="0"/>
            <w:vAlign w:val="center"/>
          </w:tcPr>
          <w:p w14:paraId="466540DC">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技术团队</w:t>
            </w:r>
            <w:r>
              <w:rPr>
                <w:rFonts w:hint="eastAsia" w:ascii="宋体" w:hAnsi="宋体" w:cs="宋体"/>
                <w:color w:val="auto"/>
                <w:sz w:val="22"/>
                <w:szCs w:val="22"/>
                <w:highlight w:val="none"/>
                <w:lang w:val="en-US" w:eastAsia="zh-CN"/>
              </w:rPr>
              <w:t>人员</w:t>
            </w:r>
          </w:p>
        </w:tc>
        <w:tc>
          <w:tcPr>
            <w:tcW w:w="5800" w:type="dxa"/>
            <w:tcBorders>
              <w:top w:val="single" w:color="auto" w:sz="8" w:space="0"/>
              <w:left w:val="single" w:color="auto" w:sz="6" w:space="0"/>
              <w:bottom w:val="single" w:color="auto" w:sz="8" w:space="0"/>
            </w:tcBorders>
            <w:shd w:val="clear" w:color="auto" w:fill="auto"/>
            <w:noWrap w:val="0"/>
            <w:vAlign w:val="center"/>
          </w:tcPr>
          <w:p w14:paraId="6DC42411">
            <w:pPr>
              <w:keepNext w:val="0"/>
              <w:keepLines w:val="0"/>
              <w:suppressLineNumbers w:val="0"/>
              <w:wordWrap w:val="0"/>
              <w:spacing w:before="0" w:beforeAutospacing="0" w:after="0" w:afterAutospacing="0"/>
              <w:ind w:left="0" w:right="0"/>
              <w:rPr>
                <w:rFonts w:hint="eastAsia" w:ascii="宋体" w:hAnsi="宋体" w:cs="宋体"/>
                <w:b/>
                <w:bCs/>
                <w:color w:val="auto"/>
                <w:szCs w:val="22"/>
                <w:highlight w:val="none"/>
              </w:rPr>
            </w:pPr>
            <w:r>
              <w:rPr>
                <w:rFonts w:hint="eastAsia" w:ascii="宋体" w:hAnsi="宋体" w:cs="宋体"/>
                <w:b/>
                <w:bCs/>
                <w:color w:val="auto"/>
                <w:szCs w:val="22"/>
                <w:highlight w:val="none"/>
              </w:rPr>
              <w:t>项目负责人：</w:t>
            </w:r>
          </w:p>
          <w:p w14:paraId="251D3B98">
            <w:pPr>
              <w:keepNext w:val="0"/>
              <w:keepLines w:val="0"/>
              <w:numPr>
                <w:ilvl w:val="0"/>
                <w:numId w:val="0"/>
              </w:numPr>
              <w:suppressLineNumbers w:val="0"/>
              <w:wordWrap w:val="0"/>
              <w:spacing w:before="0" w:beforeAutospacing="0" w:after="0" w:afterAutospacing="0"/>
              <w:ind w:left="0" w:right="0"/>
              <w:rPr>
                <w:rFonts w:hint="eastAsia" w:ascii="宋体" w:hAnsi="宋体" w:cs="宋体"/>
                <w:color w:val="auto"/>
                <w:szCs w:val="22"/>
                <w:highlight w:val="none"/>
              </w:rPr>
            </w:pPr>
            <w:r>
              <w:rPr>
                <w:rFonts w:hint="eastAsia" w:ascii="宋体" w:hAnsi="宋体" w:cs="宋体"/>
                <w:color w:val="auto"/>
                <w:szCs w:val="22"/>
                <w:highlight w:val="none"/>
              </w:rPr>
              <w:t>高级</w:t>
            </w:r>
            <w:r>
              <w:rPr>
                <w:rFonts w:hint="eastAsia" w:ascii="宋体" w:hAnsi="宋体" w:cs="宋体"/>
                <w:color w:val="auto"/>
                <w:szCs w:val="22"/>
                <w:highlight w:val="none"/>
                <w:lang w:val="en-US" w:eastAsia="zh-CN"/>
              </w:rPr>
              <w:t>及以上</w:t>
            </w:r>
            <w:r>
              <w:rPr>
                <w:rFonts w:hint="eastAsia" w:ascii="宋体" w:hAnsi="宋体" w:cs="宋体"/>
                <w:color w:val="auto"/>
                <w:szCs w:val="22"/>
                <w:highlight w:val="none"/>
              </w:rPr>
              <w:t>职称的得</w:t>
            </w:r>
            <w:r>
              <w:rPr>
                <w:rFonts w:hint="eastAsia" w:ascii="宋体" w:hAnsi="宋体" w:cs="宋体"/>
                <w:color w:val="auto"/>
                <w:szCs w:val="22"/>
                <w:highlight w:val="none"/>
                <w:lang w:val="en-US" w:eastAsia="zh-CN"/>
              </w:rPr>
              <w:t>2</w:t>
            </w:r>
            <w:r>
              <w:rPr>
                <w:rFonts w:hint="eastAsia" w:ascii="宋体" w:hAnsi="宋体" w:cs="宋体"/>
                <w:color w:val="auto"/>
                <w:szCs w:val="22"/>
                <w:highlight w:val="none"/>
              </w:rPr>
              <w:t>分，具有中级职称的得0.5分。（仅计最高职称）</w:t>
            </w:r>
          </w:p>
          <w:p w14:paraId="544FDE8F">
            <w:pPr>
              <w:keepNext w:val="0"/>
              <w:keepLines w:val="0"/>
              <w:suppressLineNumbers w:val="0"/>
              <w:wordWrap w:val="0"/>
              <w:spacing w:before="0" w:beforeAutospacing="0" w:after="0" w:afterAutospacing="0"/>
              <w:ind w:left="0" w:right="0"/>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cs="宋体"/>
                <w:color w:val="auto"/>
                <w:szCs w:val="22"/>
                <w:highlight w:val="none"/>
              </w:rPr>
              <w:t>提供职称证书复印件和在本单位开标截止时间前三个月内任一月份的社保证明等证明材料</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lang w:val="en-US" w:eastAsia="zh-CN"/>
              </w:rPr>
              <w:t>未提供</w:t>
            </w:r>
            <w:r>
              <w:rPr>
                <w:rFonts w:hint="eastAsia" w:ascii="宋体" w:hAnsi="宋体" w:eastAsia="宋体" w:cs="宋体"/>
                <w:color w:val="auto"/>
                <w:szCs w:val="22"/>
                <w:highlight w:val="none"/>
              </w:rPr>
              <w:t>不得分</w:t>
            </w:r>
            <w:r>
              <w:rPr>
                <w:rFonts w:hint="eastAsia" w:ascii="宋体" w:hAnsi="宋体" w:eastAsia="宋体" w:cs="宋体"/>
                <w:color w:val="auto"/>
                <w:szCs w:val="22"/>
                <w:highlight w:val="none"/>
                <w:lang w:eastAsia="zh-CN"/>
              </w:rPr>
              <w:t>。</w:t>
            </w:r>
          </w:p>
        </w:tc>
        <w:tc>
          <w:tcPr>
            <w:tcW w:w="749" w:type="dxa"/>
            <w:tcBorders>
              <w:top w:val="single" w:color="auto" w:sz="8" w:space="0"/>
              <w:left w:val="single" w:color="auto" w:sz="6" w:space="0"/>
              <w:bottom w:val="single" w:color="auto" w:sz="8" w:space="0"/>
            </w:tcBorders>
            <w:shd w:val="clear" w:color="auto" w:fill="auto"/>
            <w:noWrap w:val="0"/>
            <w:vAlign w:val="center"/>
          </w:tcPr>
          <w:p w14:paraId="2B53999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2分</w:t>
            </w:r>
          </w:p>
        </w:tc>
        <w:tc>
          <w:tcPr>
            <w:tcW w:w="1140" w:type="dxa"/>
            <w:tcBorders>
              <w:top w:val="single" w:color="auto" w:sz="8" w:space="0"/>
              <w:left w:val="single" w:color="auto" w:sz="6" w:space="0"/>
              <w:bottom w:val="single" w:color="auto" w:sz="8" w:space="0"/>
            </w:tcBorders>
            <w:shd w:val="clear" w:color="auto" w:fill="auto"/>
            <w:noWrap w:val="0"/>
            <w:vAlign w:val="center"/>
          </w:tcPr>
          <w:p w14:paraId="4791F786">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52F6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459B014D">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rPr>
            </w:pPr>
          </w:p>
        </w:tc>
        <w:tc>
          <w:tcPr>
            <w:tcW w:w="1605" w:type="dxa"/>
            <w:vMerge w:val="continue"/>
            <w:noWrap w:val="0"/>
            <w:vAlign w:val="center"/>
          </w:tcPr>
          <w:p w14:paraId="09D3C8A6">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800" w:type="dxa"/>
            <w:tcBorders>
              <w:top w:val="single" w:color="auto" w:sz="8" w:space="0"/>
              <w:left w:val="single" w:color="auto" w:sz="6" w:space="0"/>
              <w:bottom w:val="single" w:color="auto" w:sz="8" w:space="0"/>
            </w:tcBorders>
            <w:shd w:val="clear" w:color="auto" w:fill="auto"/>
            <w:noWrap w:val="0"/>
            <w:vAlign w:val="center"/>
          </w:tcPr>
          <w:p w14:paraId="62E44411">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拟任项目负责人自20</w:t>
            </w:r>
            <w:r>
              <w:rPr>
                <w:rFonts w:hint="eastAsia" w:ascii="宋体" w:hAnsi="宋体" w:cs="宋体"/>
                <w:color w:val="auto"/>
                <w:szCs w:val="22"/>
                <w:highlight w:val="none"/>
                <w:lang w:val="en-US" w:eastAsia="zh-CN"/>
              </w:rPr>
              <w:t>22</w:t>
            </w:r>
            <w:r>
              <w:rPr>
                <w:rFonts w:hint="eastAsia" w:ascii="宋体" w:hAnsi="宋体" w:eastAsia="宋体" w:cs="宋体"/>
                <w:color w:val="auto"/>
                <w:szCs w:val="22"/>
                <w:highlight w:val="none"/>
              </w:rPr>
              <w:t>年1月1日起至今作为项目负责人或项目主创人员，获城乡规划类国家级奖项的得4分</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省级奖项的得2分</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w:t>
            </w:r>
            <w:r>
              <w:rPr>
                <w:rFonts w:hint="eastAsia" w:ascii="宋体" w:hAnsi="宋体" w:cs="宋体"/>
                <w:color w:val="auto"/>
                <w:szCs w:val="22"/>
                <w:highlight w:val="none"/>
                <w:lang w:val="en-US" w:eastAsia="zh-CN"/>
              </w:rPr>
              <w:t>多个奖项仅计分值的最高1个奖项，</w:t>
            </w:r>
            <w:r>
              <w:rPr>
                <w:rFonts w:hint="eastAsia" w:ascii="宋体" w:hAnsi="宋体" w:eastAsia="宋体" w:cs="宋体"/>
                <w:color w:val="auto"/>
                <w:szCs w:val="22"/>
                <w:highlight w:val="none"/>
                <w:lang w:val="en-US" w:eastAsia="zh-CN"/>
              </w:rPr>
              <w:t>提供所获奖项的复印件加盖公章，未提供</w:t>
            </w:r>
            <w:r>
              <w:rPr>
                <w:rFonts w:hint="eastAsia" w:ascii="宋体" w:hAnsi="宋体" w:eastAsia="宋体" w:cs="宋体"/>
                <w:color w:val="auto"/>
                <w:szCs w:val="22"/>
                <w:highlight w:val="none"/>
              </w:rPr>
              <w:t>不得分</w:t>
            </w:r>
            <w:r>
              <w:rPr>
                <w:rFonts w:hint="eastAsia" w:ascii="宋体" w:hAnsi="宋体" w:eastAsia="宋体" w:cs="宋体"/>
                <w:color w:val="auto"/>
                <w:szCs w:val="22"/>
                <w:highlight w:val="none"/>
                <w:lang w:val="en-US" w:eastAsia="zh-CN"/>
              </w:rPr>
              <w:t>）</w:t>
            </w:r>
          </w:p>
          <w:p w14:paraId="4998138C">
            <w:pPr>
              <w:keepNext w:val="0"/>
              <w:keepLines w:val="0"/>
              <w:suppressLineNumbers w:val="0"/>
              <w:wordWrap w:val="0"/>
              <w:spacing w:before="0" w:beforeAutospacing="0" w:after="0" w:afterAutospacing="0"/>
              <w:ind w:left="0" w:right="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2"/>
                <w:highlight w:val="none"/>
              </w:rPr>
              <w:t>注：如有获奖的获奖项目须为中国境内的项目，奖项根据规划行政主管部门或中国城市规划协会颁发的文件或证书确认，时间以获奖证书或文件的颁发时间为准，否则不得分。</w:t>
            </w:r>
          </w:p>
        </w:tc>
        <w:tc>
          <w:tcPr>
            <w:tcW w:w="749" w:type="dxa"/>
            <w:tcBorders>
              <w:top w:val="single" w:color="auto" w:sz="8" w:space="0"/>
              <w:left w:val="single" w:color="auto" w:sz="6" w:space="0"/>
              <w:bottom w:val="single" w:color="auto" w:sz="8" w:space="0"/>
            </w:tcBorders>
            <w:shd w:val="clear" w:color="auto" w:fill="auto"/>
            <w:noWrap w:val="0"/>
            <w:vAlign w:val="center"/>
          </w:tcPr>
          <w:p w14:paraId="0529109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4分</w:t>
            </w:r>
          </w:p>
        </w:tc>
        <w:tc>
          <w:tcPr>
            <w:tcW w:w="1140" w:type="dxa"/>
            <w:tcBorders>
              <w:top w:val="single" w:color="auto" w:sz="8" w:space="0"/>
              <w:left w:val="single" w:color="auto" w:sz="6" w:space="0"/>
              <w:bottom w:val="single" w:color="auto" w:sz="8" w:space="0"/>
            </w:tcBorders>
            <w:shd w:val="clear" w:color="auto" w:fill="auto"/>
            <w:noWrap w:val="0"/>
            <w:vAlign w:val="center"/>
          </w:tcPr>
          <w:p w14:paraId="33BB9331">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4C05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2634DCE0">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auto"/>
                <w:sz w:val="22"/>
                <w:szCs w:val="22"/>
                <w:highlight w:val="none"/>
              </w:rPr>
            </w:pPr>
          </w:p>
        </w:tc>
        <w:tc>
          <w:tcPr>
            <w:tcW w:w="1605" w:type="dxa"/>
            <w:vMerge w:val="continue"/>
            <w:noWrap w:val="0"/>
            <w:vAlign w:val="center"/>
          </w:tcPr>
          <w:p w14:paraId="0B32670F">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800" w:type="dxa"/>
            <w:tcBorders>
              <w:top w:val="single" w:color="auto" w:sz="8" w:space="0"/>
              <w:left w:val="single" w:color="auto" w:sz="6" w:space="0"/>
              <w:bottom w:val="single" w:color="auto" w:sz="8" w:space="0"/>
            </w:tcBorders>
            <w:shd w:val="clear" w:color="auto" w:fill="auto"/>
            <w:noWrap w:val="0"/>
            <w:vAlign w:val="center"/>
          </w:tcPr>
          <w:p w14:paraId="2ACF95A8">
            <w:pPr>
              <w:keepNext w:val="0"/>
              <w:keepLines w:val="0"/>
              <w:suppressLineNumbers w:val="0"/>
              <w:wordWrap w:val="0"/>
              <w:spacing w:before="0" w:beforeAutospacing="0" w:after="0" w:afterAutospacing="0"/>
              <w:ind w:left="0" w:right="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项目组其他人员：</w:t>
            </w:r>
          </w:p>
          <w:p w14:paraId="661B9BA4">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根据投标人拟投入本项目的项目组织结构以及成员配备中</w:t>
            </w:r>
            <w:r>
              <w:rPr>
                <w:rFonts w:hint="eastAsia" w:ascii="宋体" w:hAnsi="宋体" w:eastAsia="宋体" w:cs="宋体"/>
                <w:b/>
                <w:bCs/>
                <w:color w:val="auto"/>
                <w:szCs w:val="22"/>
                <w:highlight w:val="none"/>
              </w:rPr>
              <w:t>（除拟任项目负责人外）</w:t>
            </w:r>
            <w:r>
              <w:rPr>
                <w:rFonts w:hint="eastAsia" w:ascii="宋体" w:hAnsi="宋体" w:eastAsia="宋体" w:cs="宋体"/>
                <w:color w:val="auto"/>
                <w:szCs w:val="22"/>
                <w:highlight w:val="none"/>
              </w:rPr>
              <w:t>：</w:t>
            </w:r>
          </w:p>
          <w:p w14:paraId="7E11AC59">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（1）具有规划类注册证书的每提供一人得1分，最高得2分；</w:t>
            </w:r>
          </w:p>
          <w:p w14:paraId="56AE6E04">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（2）拟投入的人员中具有建筑类、道路交通（或交通运输）类、市政类、景观园林类专业中级及以上职称人员的得1分，缺一不得分；</w:t>
            </w:r>
          </w:p>
          <w:p w14:paraId="0875E308">
            <w:pPr>
              <w:keepNext w:val="0"/>
              <w:keepLines w:val="0"/>
              <w:suppressLineNumbers w:val="0"/>
              <w:wordWrap w:val="0"/>
              <w:spacing w:before="0" w:beforeAutospacing="0" w:after="0" w:afterAutospacing="0"/>
              <w:ind w:left="0" w:right="0"/>
              <w:rPr>
                <w:rFonts w:hint="eastAsia" w:ascii="宋体" w:hAnsi="宋体" w:eastAsia="宋体" w:cs="宋体"/>
                <w:color w:val="auto"/>
                <w:szCs w:val="22"/>
                <w:highlight w:val="none"/>
              </w:rPr>
            </w:pPr>
            <w:r>
              <w:rPr>
                <w:rFonts w:hint="eastAsia" w:ascii="宋体" w:hAnsi="宋体" w:eastAsia="宋体" w:cs="宋体"/>
                <w:color w:val="auto"/>
                <w:szCs w:val="22"/>
                <w:highlight w:val="none"/>
              </w:rPr>
              <w:t>（3）拟投入人员中具规划类、建筑类、道路交通类、市政类、景观园林类专业高级职称的每提供一人得0.5分，中级职称的每提供一人得0.2分，最高得2分。</w:t>
            </w:r>
          </w:p>
          <w:p w14:paraId="128C4747">
            <w:pPr>
              <w:keepNext w:val="0"/>
              <w:keepLines w:val="0"/>
              <w:suppressLineNumbers w:val="0"/>
              <w:wordWrap w:val="0"/>
              <w:spacing w:before="0" w:beforeAutospacing="0" w:after="0" w:afterAutospacing="0"/>
              <w:ind w:left="0" w:right="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2"/>
                <w:highlight w:val="none"/>
              </w:rPr>
              <w:t>注：项目组成员应为投标人的正式员工，提供人员注册证书或职称证书和由投标人在投标截止时间前三个月内任一月份的社保证明复印件等证明材料，未提供或提供不清的不得分。</w:t>
            </w:r>
          </w:p>
        </w:tc>
        <w:tc>
          <w:tcPr>
            <w:tcW w:w="749" w:type="dxa"/>
            <w:tcBorders>
              <w:top w:val="single" w:color="auto" w:sz="8" w:space="0"/>
              <w:left w:val="single" w:color="auto" w:sz="6" w:space="0"/>
              <w:bottom w:val="single" w:color="auto" w:sz="8" w:space="0"/>
            </w:tcBorders>
            <w:shd w:val="clear" w:color="auto" w:fill="auto"/>
            <w:noWrap w:val="0"/>
            <w:vAlign w:val="center"/>
          </w:tcPr>
          <w:p w14:paraId="724DA285">
            <w:pPr>
              <w:keepNext w:val="0"/>
              <w:keepLines w:val="0"/>
              <w:suppressLineNumbers w:val="0"/>
              <w:spacing w:before="0" w:beforeAutospacing="0" w:after="0" w:afterAutospacing="0"/>
              <w:ind w:left="0" w:leftChars="0" w:right="0" w:rightChars="0"/>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5分</w:t>
            </w:r>
          </w:p>
        </w:tc>
        <w:tc>
          <w:tcPr>
            <w:tcW w:w="1140" w:type="dxa"/>
            <w:tcBorders>
              <w:top w:val="single" w:color="auto" w:sz="8" w:space="0"/>
              <w:left w:val="single" w:color="auto" w:sz="6" w:space="0"/>
              <w:bottom w:val="single" w:color="auto" w:sz="8" w:space="0"/>
            </w:tcBorders>
            <w:shd w:val="clear" w:color="auto" w:fill="auto"/>
            <w:noWrap w:val="0"/>
            <w:vAlign w:val="center"/>
          </w:tcPr>
          <w:p w14:paraId="0930D21B">
            <w:pPr>
              <w:keepNext w:val="0"/>
              <w:keepLines w:val="0"/>
              <w:suppressLineNumbers w:val="0"/>
              <w:wordWrap w:val="0"/>
              <w:spacing w:before="0" w:beforeAutospacing="0" w:after="0" w:afterAutospacing="0"/>
              <w:ind w:left="0" w:leftChars="0" w:right="0" w:rightChars="0"/>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客观分</w:t>
            </w:r>
          </w:p>
        </w:tc>
      </w:tr>
      <w:tr w14:paraId="3F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4B019E6A">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1605" w:type="dxa"/>
            <w:noWrap w:val="0"/>
            <w:vAlign w:val="center"/>
          </w:tcPr>
          <w:p w14:paraId="7F6C7FB2">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投标供应商针对本项目所提供的本地化服务</w:t>
            </w:r>
          </w:p>
        </w:tc>
        <w:tc>
          <w:tcPr>
            <w:tcW w:w="5800" w:type="dxa"/>
            <w:tcBorders>
              <w:top w:val="single" w:color="auto" w:sz="8" w:space="0"/>
              <w:left w:val="single" w:color="auto" w:sz="6" w:space="0"/>
              <w:bottom w:val="single" w:color="auto" w:sz="8" w:space="0"/>
            </w:tcBorders>
            <w:shd w:val="clear" w:color="auto" w:fill="auto"/>
            <w:noWrap w:val="0"/>
            <w:vAlign w:val="center"/>
          </w:tcPr>
          <w:p w14:paraId="7CD1B731">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服务内容包括本地化前期进度计划，本地化服务人员、内容及安排计划，本地化后续服务安排等。</w:t>
            </w:r>
          </w:p>
          <w:p w14:paraId="7F236BC9">
            <w:pPr>
              <w:keepNext w:val="0"/>
              <w:keepLines w:val="0"/>
              <w:suppressLineNumbers w:val="0"/>
              <w:wordWrap w:val="0"/>
              <w:spacing w:before="0" w:beforeAutospacing="0" w:after="0" w:afterAutospacing="0"/>
              <w:ind w:left="0" w:leftChars="0" w:right="0" w:rightChars="0"/>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b/>
                <w:bCs/>
                <w:color w:val="auto"/>
                <w:sz w:val="22"/>
                <w:szCs w:val="22"/>
                <w:highlight w:val="none"/>
                <w:lang w:val="en-US" w:eastAsia="zh-CN"/>
              </w:rPr>
              <w:t>（打分范围：6、4、2、0）</w:t>
            </w:r>
          </w:p>
        </w:tc>
        <w:tc>
          <w:tcPr>
            <w:tcW w:w="749" w:type="dxa"/>
            <w:tcBorders>
              <w:top w:val="single" w:color="auto" w:sz="8" w:space="0"/>
              <w:left w:val="single" w:color="auto" w:sz="6" w:space="0"/>
              <w:bottom w:val="single" w:color="auto" w:sz="8" w:space="0"/>
            </w:tcBorders>
            <w:shd w:val="clear" w:color="auto" w:fill="auto"/>
            <w:noWrap w:val="0"/>
            <w:vAlign w:val="center"/>
          </w:tcPr>
          <w:p w14:paraId="6F49534D">
            <w:pPr>
              <w:keepNext w:val="0"/>
              <w:keepLines w:val="0"/>
              <w:suppressLineNumbers w:val="0"/>
              <w:wordWrap w:val="0"/>
              <w:spacing w:before="0" w:beforeAutospacing="0" w:after="0" w:afterAutospacing="0"/>
              <w:ind w:left="0" w:leftChars="0" w:right="0" w:righ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6分</w:t>
            </w:r>
          </w:p>
        </w:tc>
        <w:tc>
          <w:tcPr>
            <w:tcW w:w="1140" w:type="dxa"/>
            <w:tcBorders>
              <w:top w:val="single" w:color="auto" w:sz="8" w:space="0"/>
              <w:left w:val="single" w:color="auto" w:sz="6" w:space="0"/>
              <w:bottom w:val="single" w:color="auto" w:sz="8" w:space="0"/>
            </w:tcBorders>
            <w:shd w:val="clear" w:color="auto" w:fill="auto"/>
            <w:noWrap w:val="0"/>
            <w:vAlign w:val="center"/>
          </w:tcPr>
          <w:p w14:paraId="13FE6ED9">
            <w:pPr>
              <w:keepNext w:val="0"/>
              <w:keepLines w:val="0"/>
              <w:suppressLineNumbers w:val="0"/>
              <w:wordWrap w:val="0"/>
              <w:spacing w:before="0" w:beforeAutospacing="0" w:after="0" w:afterAutospacing="0"/>
              <w:ind w:left="0" w:leftChars="0" w:right="0" w:rightChars="0"/>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r>
    </w:tbl>
    <w:p w14:paraId="4C29D1CE">
      <w:pPr>
        <w:pStyle w:val="21"/>
        <w:rPr>
          <w:rFonts w:hint="eastAsia" w:ascii="宋体" w:hAnsi="宋体" w:eastAsia="宋体" w:cs="宋体"/>
          <w:color w:val="auto"/>
          <w:highlight w:val="none"/>
        </w:rPr>
      </w:pPr>
    </w:p>
    <w:p w14:paraId="50011287">
      <w:pPr>
        <w:pStyle w:val="12"/>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11" w:name="_Toc31681"/>
      <w:bookmarkStart w:id="112" w:name="_Toc22569"/>
      <w:bookmarkStart w:id="113" w:name="_Toc16891"/>
      <w:r>
        <w:rPr>
          <w:rFonts w:hint="eastAsia" w:ascii="宋体" w:hAnsi="宋体" w:eastAsia="宋体" w:cs="宋体"/>
          <w:color w:val="auto"/>
          <w:sz w:val="22"/>
          <w:szCs w:val="22"/>
          <w:highlight w:val="none"/>
        </w:rPr>
        <w:t>三、说明</w:t>
      </w:r>
      <w:bookmarkEnd w:id="111"/>
      <w:bookmarkEnd w:id="112"/>
      <w:bookmarkEnd w:id="113"/>
    </w:p>
    <w:p w14:paraId="5E5008FE">
      <w:pPr>
        <w:pStyle w:val="14"/>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316FCF6E">
      <w:pPr>
        <w:pStyle w:val="14"/>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259F6B45">
      <w:pPr>
        <w:pStyle w:val="14"/>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1F3CA47A">
      <w:pPr>
        <w:pStyle w:val="14"/>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3A9E5926">
      <w:pPr>
        <w:pStyle w:val="57"/>
        <w:widowControl w:val="0"/>
        <w:shd w:val="clear" w:color="auto" w:fill="auto"/>
        <w:wordWrap w:val="0"/>
        <w:snapToGrid w:val="0"/>
        <w:spacing w:line="360" w:lineRule="auto"/>
        <w:ind w:firstLine="2560" w:firstLineChars="800"/>
        <w:rPr>
          <w:rFonts w:hint="eastAsia" w:ascii="宋体" w:hAnsi="宋体" w:eastAsia="宋体" w:cs="宋体"/>
          <w:color w:val="auto"/>
          <w:sz w:val="32"/>
          <w:szCs w:val="32"/>
          <w:highlight w:val="none"/>
        </w:rPr>
      </w:pPr>
    </w:p>
    <w:p w14:paraId="4C6A105F">
      <w:pPr>
        <w:pStyle w:val="57"/>
        <w:widowControl w:val="0"/>
        <w:shd w:val="clear" w:color="auto" w:fill="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14"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14"/>
    </w:p>
    <w:p w14:paraId="0543F37C">
      <w:pPr>
        <w:pStyle w:val="57"/>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u w:val="single"/>
          <w:lang w:eastAsia="zh-CN"/>
        </w:rPr>
        <w:t>新征程（杭州）招标代理有限公司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5B3E773F">
      <w:pPr>
        <w:pStyle w:val="57"/>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平阳站前片区城市设计、控制性详细规划服务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PYCG250902093</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38CD0797">
      <w:pPr>
        <w:pStyle w:val="65"/>
        <w:widowControl/>
        <w:numPr>
          <w:ilvl w:val="0"/>
          <w:numId w:val="6"/>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7027A727">
      <w:pPr>
        <w:pStyle w:val="65"/>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4DBC9FD">
      <w:pPr>
        <w:pStyle w:val="65"/>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3FD2CEF">
      <w:pPr>
        <w:pStyle w:val="65"/>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11821660">
      <w:pPr>
        <w:pStyle w:val="57"/>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1751E2C3">
      <w:pPr>
        <w:pStyle w:val="57"/>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460AFA7">
      <w:pPr>
        <w:pStyle w:val="57"/>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33D8D30C">
      <w:pPr>
        <w:pStyle w:val="57"/>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409CADD2">
      <w:pPr>
        <w:pStyle w:val="57"/>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19D2CE22">
      <w:pPr>
        <w:pStyle w:val="57"/>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7BD05765">
      <w:pPr>
        <w:pStyle w:val="57"/>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15" w:name="_Toc8771"/>
      <w:bookmarkStart w:id="116" w:name="_Toc8088"/>
      <w:bookmarkStart w:id="117"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15"/>
      <w:bookmarkEnd w:id="116"/>
      <w:bookmarkEnd w:id="117"/>
    </w:p>
    <w:p w14:paraId="024E927C">
      <w:pPr>
        <w:pStyle w:val="57"/>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0AC48B26">
      <w:pPr>
        <w:pStyle w:val="57"/>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18" w:name="_Toc31554"/>
      <w:bookmarkStart w:id="119" w:name="_Toc6717"/>
      <w:bookmarkStart w:id="120" w:name="_Toc32152"/>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18"/>
      <w:bookmarkEnd w:id="119"/>
      <w:bookmarkEnd w:id="120"/>
    </w:p>
    <w:p w14:paraId="7ABBDB80">
      <w:pPr>
        <w:pStyle w:val="65"/>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3ECE4EC2">
      <w:pPr>
        <w:pStyle w:val="65"/>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34CEA7E">
      <w:pPr>
        <w:pStyle w:val="57"/>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578EFD12">
      <w:pPr>
        <w:pStyle w:val="57"/>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06C83C96">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7960C936">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：250785507@qq.com</w:t>
      </w:r>
      <w:r>
        <w:rPr>
          <w:rFonts w:hint="eastAsia" w:ascii="宋体" w:hAnsi="宋体" w:eastAsia="宋体" w:cs="宋体"/>
          <w:b/>
          <w:bCs/>
          <w:color w:val="auto"/>
          <w:sz w:val="22"/>
          <w:szCs w:val="22"/>
          <w:highlight w:val="none"/>
        </w:rPr>
        <w:t>。</w:t>
      </w:r>
    </w:p>
    <w:p w14:paraId="4B02E5FF">
      <w:pPr>
        <w:pStyle w:val="48"/>
        <w:shd w:val="clear" w:color="auto" w:fill="auto"/>
        <w:wordWrap w:val="0"/>
        <w:spacing w:line="360" w:lineRule="auto"/>
        <w:rPr>
          <w:rFonts w:hint="eastAsia" w:ascii="宋体" w:hAnsi="宋体" w:eastAsia="宋体" w:cs="宋体"/>
          <w:color w:val="auto"/>
          <w:sz w:val="22"/>
          <w:szCs w:val="22"/>
          <w:highlight w:val="none"/>
        </w:rPr>
      </w:pPr>
    </w:p>
    <w:p w14:paraId="7068B186">
      <w:pPr>
        <w:pStyle w:val="11"/>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629A94DC">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5C2DCAA8">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1CAA33A">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9156BCB">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4540D3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682886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6971536">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760D0655">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960EBB7">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6869745">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4C50616">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A55CA09">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C836A7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04BB035">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70AB62A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D48B5C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3451AE">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3046DE3A">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7C2F90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1B6502C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78D0BD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9C0E162">
      <w:pPr>
        <w:shd w:val="clear" w:color="auto" w:fill="auto"/>
        <w:wordWrap w:val="0"/>
        <w:adjustRightInd w:val="0"/>
        <w:snapToGrid w:val="0"/>
        <w:spacing w:line="360" w:lineRule="auto"/>
        <w:rPr>
          <w:rFonts w:hint="eastAsia" w:ascii="宋体" w:hAnsi="宋体" w:eastAsia="宋体" w:cs="宋体"/>
          <w:color w:val="auto"/>
          <w:szCs w:val="21"/>
          <w:highlight w:val="none"/>
        </w:rPr>
      </w:pPr>
    </w:p>
    <w:p w14:paraId="0E128B5E">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64B9DE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B98BD72">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4D14A897">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44E5510">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7DEAF25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552890C8">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12D1CB71">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F674A4">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4D54E703">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1213CF0">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99F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A70F">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DB410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7BDB410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69A6">
    <w:pPr>
      <w:pStyle w:val="1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4BCEC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584BCEC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D86D">
    <w:pPr>
      <w:pStyle w:val="16"/>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E47B8E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4E47B8E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6E4B">
    <w:pPr>
      <w:pStyle w:val="16"/>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4982D">
                          <w:pPr>
                            <w:pStyle w:val="16"/>
                            <w:rPr>
                              <w:rStyle w:val="31"/>
                            </w:rPr>
                          </w:pPr>
                          <w:r>
                            <w:fldChar w:fldCharType="begin"/>
                          </w:r>
                          <w:r>
                            <w:rPr>
                              <w:rStyle w:val="31"/>
                            </w:rPr>
                            <w:instrText xml:space="preserve">PAGE  </w:instrText>
                          </w:r>
                          <w:r>
                            <w:fldChar w:fldCharType="separate"/>
                          </w:r>
                          <w:r>
                            <w:rPr>
                              <w:rStyle w:val="31"/>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714982D">
                    <w:pPr>
                      <w:pStyle w:val="16"/>
                      <w:rPr>
                        <w:rStyle w:val="31"/>
                      </w:rPr>
                    </w:pPr>
                    <w:r>
                      <w:fldChar w:fldCharType="begin"/>
                    </w:r>
                    <w:r>
                      <w:rPr>
                        <w:rStyle w:val="31"/>
                      </w:rPr>
                      <w:instrText xml:space="preserve">PAGE  </w:instrText>
                    </w:r>
                    <w:r>
                      <w:fldChar w:fldCharType="separate"/>
                    </w:r>
                    <w:r>
                      <w:rPr>
                        <w:rStyle w:val="31"/>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0045">
    <w:pPr>
      <w:pStyle w:val="16"/>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1655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121655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90B8">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D88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C1E">
    <w:pPr>
      <w:pStyle w:val="17"/>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5D49">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E2C87"/>
    <w:multiLevelType w:val="singleLevel"/>
    <w:tmpl w:val="19DE2C87"/>
    <w:lvl w:ilvl="0" w:tentative="0">
      <w:start w:val="1"/>
      <w:numFmt w:val="decimal"/>
      <w:suff w:val="nothing"/>
      <w:lvlText w:val="（%1）"/>
      <w:lvlJc w:val="left"/>
    </w:lvl>
  </w:abstractNum>
  <w:abstractNum w:abstractNumId="1">
    <w:nsid w:val="24A0B24D"/>
    <w:multiLevelType w:val="singleLevel"/>
    <w:tmpl w:val="24A0B24D"/>
    <w:lvl w:ilvl="0" w:tentative="0">
      <w:start w:val="2"/>
      <w:numFmt w:val="decimal"/>
      <w:suff w:val="nothing"/>
      <w:lvlText w:val="%1、"/>
      <w:lvlJc w:val="left"/>
    </w:lvl>
  </w:abstractNum>
  <w:abstractNum w:abstractNumId="2">
    <w:nsid w:val="3F0F2FA1"/>
    <w:multiLevelType w:val="singleLevel"/>
    <w:tmpl w:val="3F0F2FA1"/>
    <w:lvl w:ilvl="0" w:tentative="0">
      <w:start w:val="2"/>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A06B7A8"/>
    <w:multiLevelType w:val="singleLevel"/>
    <w:tmpl w:val="7A06B7A8"/>
    <w:lvl w:ilvl="0" w:tentative="0">
      <w:start w:val="1"/>
      <w:numFmt w:val="decimal"/>
      <w:suff w:val="nothing"/>
      <w:lvlText w:val="%1、"/>
      <w:lvlJc w:val="left"/>
    </w:lvl>
  </w:abstractNum>
  <w:abstractNum w:abstractNumId="6">
    <w:nsid w:val="7E224F15"/>
    <w:multiLevelType w:val="multilevel"/>
    <w:tmpl w:val="7E224F15"/>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B213F"/>
    <w:rsid w:val="001B2F1F"/>
    <w:rsid w:val="001D032E"/>
    <w:rsid w:val="002353B5"/>
    <w:rsid w:val="00290B88"/>
    <w:rsid w:val="002F74EF"/>
    <w:rsid w:val="0031094C"/>
    <w:rsid w:val="00332AAB"/>
    <w:rsid w:val="00344060"/>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3BC9"/>
    <w:rsid w:val="00726EFC"/>
    <w:rsid w:val="00732C93"/>
    <w:rsid w:val="00754B4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E61C8"/>
    <w:rsid w:val="00A01EDA"/>
    <w:rsid w:val="00A605DC"/>
    <w:rsid w:val="00A80681"/>
    <w:rsid w:val="00AA55F0"/>
    <w:rsid w:val="00AC5B18"/>
    <w:rsid w:val="00AD511E"/>
    <w:rsid w:val="00B200B1"/>
    <w:rsid w:val="00B300D7"/>
    <w:rsid w:val="00B34633"/>
    <w:rsid w:val="00B45994"/>
    <w:rsid w:val="00B55938"/>
    <w:rsid w:val="00B87B92"/>
    <w:rsid w:val="00BA352C"/>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07D1B"/>
    <w:rsid w:val="00F451B8"/>
    <w:rsid w:val="00F871BC"/>
    <w:rsid w:val="010158D6"/>
    <w:rsid w:val="011A5D63"/>
    <w:rsid w:val="011D2710"/>
    <w:rsid w:val="012A0989"/>
    <w:rsid w:val="01302E15"/>
    <w:rsid w:val="01345E86"/>
    <w:rsid w:val="01376E0A"/>
    <w:rsid w:val="014F1046"/>
    <w:rsid w:val="0160164B"/>
    <w:rsid w:val="016C2D4F"/>
    <w:rsid w:val="01727438"/>
    <w:rsid w:val="017A0B78"/>
    <w:rsid w:val="017A36FD"/>
    <w:rsid w:val="018379C9"/>
    <w:rsid w:val="01895C07"/>
    <w:rsid w:val="01A60743"/>
    <w:rsid w:val="01AC264C"/>
    <w:rsid w:val="01AC5842"/>
    <w:rsid w:val="01B57AA4"/>
    <w:rsid w:val="01B81CE2"/>
    <w:rsid w:val="01BD35AB"/>
    <w:rsid w:val="01C225F2"/>
    <w:rsid w:val="01D14E0A"/>
    <w:rsid w:val="01D83224"/>
    <w:rsid w:val="01E22D7D"/>
    <w:rsid w:val="01EA0118"/>
    <w:rsid w:val="01F82AD7"/>
    <w:rsid w:val="01F86CD9"/>
    <w:rsid w:val="02140D77"/>
    <w:rsid w:val="023A7B7C"/>
    <w:rsid w:val="02544B87"/>
    <w:rsid w:val="026362FC"/>
    <w:rsid w:val="02775BE8"/>
    <w:rsid w:val="02836E2C"/>
    <w:rsid w:val="02976F77"/>
    <w:rsid w:val="029C58B6"/>
    <w:rsid w:val="02AF1C72"/>
    <w:rsid w:val="02B01361"/>
    <w:rsid w:val="02C12630"/>
    <w:rsid w:val="02EA62D0"/>
    <w:rsid w:val="031B1345"/>
    <w:rsid w:val="0320479A"/>
    <w:rsid w:val="03214DA3"/>
    <w:rsid w:val="03261EB9"/>
    <w:rsid w:val="03292E3E"/>
    <w:rsid w:val="032F0DAD"/>
    <w:rsid w:val="035C6DF3"/>
    <w:rsid w:val="036120F0"/>
    <w:rsid w:val="036D3220"/>
    <w:rsid w:val="03716D43"/>
    <w:rsid w:val="03730909"/>
    <w:rsid w:val="038C1E2A"/>
    <w:rsid w:val="03936CB9"/>
    <w:rsid w:val="039D4F10"/>
    <w:rsid w:val="03A6563A"/>
    <w:rsid w:val="03AC7394"/>
    <w:rsid w:val="03B01365"/>
    <w:rsid w:val="03C661BF"/>
    <w:rsid w:val="03C837AB"/>
    <w:rsid w:val="03D33F30"/>
    <w:rsid w:val="03D41080"/>
    <w:rsid w:val="03D609D8"/>
    <w:rsid w:val="03DE6CB8"/>
    <w:rsid w:val="03FF434E"/>
    <w:rsid w:val="040D4BBB"/>
    <w:rsid w:val="040F5AE1"/>
    <w:rsid w:val="042033D6"/>
    <w:rsid w:val="042E69E2"/>
    <w:rsid w:val="043438CC"/>
    <w:rsid w:val="04354274"/>
    <w:rsid w:val="043D4F04"/>
    <w:rsid w:val="04436E0D"/>
    <w:rsid w:val="04480CE1"/>
    <w:rsid w:val="045301F6"/>
    <w:rsid w:val="048358F9"/>
    <w:rsid w:val="04AB5538"/>
    <w:rsid w:val="04BC45FD"/>
    <w:rsid w:val="04CD7F6B"/>
    <w:rsid w:val="04D32E79"/>
    <w:rsid w:val="04DD0B5F"/>
    <w:rsid w:val="04E3143E"/>
    <w:rsid w:val="04F135D7"/>
    <w:rsid w:val="0512295E"/>
    <w:rsid w:val="05191440"/>
    <w:rsid w:val="05313213"/>
    <w:rsid w:val="05382B9E"/>
    <w:rsid w:val="055A65D5"/>
    <w:rsid w:val="055D4E56"/>
    <w:rsid w:val="056736ED"/>
    <w:rsid w:val="05771392"/>
    <w:rsid w:val="057B6B0A"/>
    <w:rsid w:val="0584521B"/>
    <w:rsid w:val="05864354"/>
    <w:rsid w:val="05875678"/>
    <w:rsid w:val="05B01562"/>
    <w:rsid w:val="05B63C67"/>
    <w:rsid w:val="05B821F2"/>
    <w:rsid w:val="05BB3177"/>
    <w:rsid w:val="05C8248C"/>
    <w:rsid w:val="05ED35C6"/>
    <w:rsid w:val="05FF16A9"/>
    <w:rsid w:val="060317A8"/>
    <w:rsid w:val="06085010"/>
    <w:rsid w:val="060A6FDB"/>
    <w:rsid w:val="06144B58"/>
    <w:rsid w:val="06436049"/>
    <w:rsid w:val="064552D9"/>
    <w:rsid w:val="06544FAB"/>
    <w:rsid w:val="06645CA5"/>
    <w:rsid w:val="066D4490"/>
    <w:rsid w:val="0670611D"/>
    <w:rsid w:val="06962173"/>
    <w:rsid w:val="069A7E12"/>
    <w:rsid w:val="069C40D7"/>
    <w:rsid w:val="06AC1035"/>
    <w:rsid w:val="06B4338F"/>
    <w:rsid w:val="06C14C23"/>
    <w:rsid w:val="06C8202F"/>
    <w:rsid w:val="06D80E87"/>
    <w:rsid w:val="06F20789"/>
    <w:rsid w:val="070C30E0"/>
    <w:rsid w:val="071A324D"/>
    <w:rsid w:val="07455FA1"/>
    <w:rsid w:val="074A1A9F"/>
    <w:rsid w:val="075F2127"/>
    <w:rsid w:val="076D05BF"/>
    <w:rsid w:val="07713742"/>
    <w:rsid w:val="07716FC5"/>
    <w:rsid w:val="07995B53"/>
    <w:rsid w:val="07A82FEA"/>
    <w:rsid w:val="07B7616C"/>
    <w:rsid w:val="07BB6C8C"/>
    <w:rsid w:val="07EF46DA"/>
    <w:rsid w:val="07F06EA1"/>
    <w:rsid w:val="08014519"/>
    <w:rsid w:val="08030185"/>
    <w:rsid w:val="08167BBE"/>
    <w:rsid w:val="08191757"/>
    <w:rsid w:val="081B727D"/>
    <w:rsid w:val="0825634E"/>
    <w:rsid w:val="08284C82"/>
    <w:rsid w:val="08302794"/>
    <w:rsid w:val="083D5414"/>
    <w:rsid w:val="084B7A66"/>
    <w:rsid w:val="0858227F"/>
    <w:rsid w:val="085C6BC2"/>
    <w:rsid w:val="086168CD"/>
    <w:rsid w:val="08647852"/>
    <w:rsid w:val="0886108C"/>
    <w:rsid w:val="08A81C9B"/>
    <w:rsid w:val="08B44F60"/>
    <w:rsid w:val="08B65FD7"/>
    <w:rsid w:val="08BE59DA"/>
    <w:rsid w:val="08CA5E8A"/>
    <w:rsid w:val="08E2593F"/>
    <w:rsid w:val="09005B9E"/>
    <w:rsid w:val="090504BF"/>
    <w:rsid w:val="09295FE7"/>
    <w:rsid w:val="092A0515"/>
    <w:rsid w:val="09562DBC"/>
    <w:rsid w:val="095830FB"/>
    <w:rsid w:val="095A48E7"/>
    <w:rsid w:val="09656115"/>
    <w:rsid w:val="0984370C"/>
    <w:rsid w:val="09AC306C"/>
    <w:rsid w:val="09D20B4E"/>
    <w:rsid w:val="09D56068"/>
    <w:rsid w:val="09D9119E"/>
    <w:rsid w:val="09E35B78"/>
    <w:rsid w:val="09F66964"/>
    <w:rsid w:val="09FF022D"/>
    <w:rsid w:val="0A0C0525"/>
    <w:rsid w:val="0A271761"/>
    <w:rsid w:val="0A2C21B6"/>
    <w:rsid w:val="0A2C26C1"/>
    <w:rsid w:val="0A334D52"/>
    <w:rsid w:val="0A3D57A2"/>
    <w:rsid w:val="0A3D6B27"/>
    <w:rsid w:val="0A3E3CF5"/>
    <w:rsid w:val="0A3E54A5"/>
    <w:rsid w:val="0A4557E9"/>
    <w:rsid w:val="0A542580"/>
    <w:rsid w:val="0A805ABD"/>
    <w:rsid w:val="0A8452CE"/>
    <w:rsid w:val="0A8A2A5A"/>
    <w:rsid w:val="0A8D4C82"/>
    <w:rsid w:val="0A9F522E"/>
    <w:rsid w:val="0AA76940"/>
    <w:rsid w:val="0AAE6112"/>
    <w:rsid w:val="0AB15C77"/>
    <w:rsid w:val="0AB35E1D"/>
    <w:rsid w:val="0AC74ABE"/>
    <w:rsid w:val="0ACF6099"/>
    <w:rsid w:val="0AEC727C"/>
    <w:rsid w:val="0AEE5030"/>
    <w:rsid w:val="0AF83D3C"/>
    <w:rsid w:val="0AFA22DE"/>
    <w:rsid w:val="0AFC3C93"/>
    <w:rsid w:val="0B0C7351"/>
    <w:rsid w:val="0B141172"/>
    <w:rsid w:val="0B1E057C"/>
    <w:rsid w:val="0B5115B8"/>
    <w:rsid w:val="0B5A23B2"/>
    <w:rsid w:val="0B5B1AAE"/>
    <w:rsid w:val="0B5B3E3A"/>
    <w:rsid w:val="0B6B594F"/>
    <w:rsid w:val="0B7550AF"/>
    <w:rsid w:val="0B7735DC"/>
    <w:rsid w:val="0B7E11CA"/>
    <w:rsid w:val="0B813EEC"/>
    <w:rsid w:val="0B982C8E"/>
    <w:rsid w:val="0BA12222"/>
    <w:rsid w:val="0BA13F3D"/>
    <w:rsid w:val="0BA55558"/>
    <w:rsid w:val="0BAD28E2"/>
    <w:rsid w:val="0BD06D33"/>
    <w:rsid w:val="0BEA7DE9"/>
    <w:rsid w:val="0BEC35D5"/>
    <w:rsid w:val="0C01741F"/>
    <w:rsid w:val="0C08603B"/>
    <w:rsid w:val="0C091155"/>
    <w:rsid w:val="0C0F058D"/>
    <w:rsid w:val="0C211085"/>
    <w:rsid w:val="0C3152C1"/>
    <w:rsid w:val="0C375709"/>
    <w:rsid w:val="0C3C06D6"/>
    <w:rsid w:val="0C3E33A6"/>
    <w:rsid w:val="0C3F3894"/>
    <w:rsid w:val="0C4301FC"/>
    <w:rsid w:val="0C5919D1"/>
    <w:rsid w:val="0C670E7C"/>
    <w:rsid w:val="0C6C347A"/>
    <w:rsid w:val="0C747BE1"/>
    <w:rsid w:val="0C7B02EA"/>
    <w:rsid w:val="0CC67C0B"/>
    <w:rsid w:val="0CD72A6E"/>
    <w:rsid w:val="0CDF3D0D"/>
    <w:rsid w:val="0CE05439"/>
    <w:rsid w:val="0CE560AB"/>
    <w:rsid w:val="0CE85DBD"/>
    <w:rsid w:val="0CF62B54"/>
    <w:rsid w:val="0CFF2C96"/>
    <w:rsid w:val="0D0226E7"/>
    <w:rsid w:val="0D0227BA"/>
    <w:rsid w:val="0D134683"/>
    <w:rsid w:val="0D15459B"/>
    <w:rsid w:val="0D2F254B"/>
    <w:rsid w:val="0D395DCD"/>
    <w:rsid w:val="0D417786"/>
    <w:rsid w:val="0D4D3563"/>
    <w:rsid w:val="0D5C629C"/>
    <w:rsid w:val="0D6214AA"/>
    <w:rsid w:val="0D6D057B"/>
    <w:rsid w:val="0D743CCE"/>
    <w:rsid w:val="0DBF42FF"/>
    <w:rsid w:val="0DC17C9E"/>
    <w:rsid w:val="0DDB664A"/>
    <w:rsid w:val="0DED6FC6"/>
    <w:rsid w:val="0DF626F7"/>
    <w:rsid w:val="0E074511"/>
    <w:rsid w:val="0E095E94"/>
    <w:rsid w:val="0E0D1414"/>
    <w:rsid w:val="0E19600D"/>
    <w:rsid w:val="0E1C1499"/>
    <w:rsid w:val="0E235A8F"/>
    <w:rsid w:val="0E247D43"/>
    <w:rsid w:val="0E2F5830"/>
    <w:rsid w:val="0E356BBF"/>
    <w:rsid w:val="0E3756DF"/>
    <w:rsid w:val="0E486C7E"/>
    <w:rsid w:val="0E63197E"/>
    <w:rsid w:val="0E77096C"/>
    <w:rsid w:val="0E7C03D1"/>
    <w:rsid w:val="0E7D5E53"/>
    <w:rsid w:val="0E9576EA"/>
    <w:rsid w:val="0EA0188B"/>
    <w:rsid w:val="0EA0228A"/>
    <w:rsid w:val="0EB648C8"/>
    <w:rsid w:val="0EBB5AE7"/>
    <w:rsid w:val="0ECC12D1"/>
    <w:rsid w:val="0ED20ACE"/>
    <w:rsid w:val="0EE35DB9"/>
    <w:rsid w:val="0EE77A81"/>
    <w:rsid w:val="0EF8693D"/>
    <w:rsid w:val="0F1473FB"/>
    <w:rsid w:val="0F307AB2"/>
    <w:rsid w:val="0F7726DF"/>
    <w:rsid w:val="0F773AEC"/>
    <w:rsid w:val="0F97226F"/>
    <w:rsid w:val="0F9B6046"/>
    <w:rsid w:val="0FB43F9D"/>
    <w:rsid w:val="0FB75ADD"/>
    <w:rsid w:val="0FBE65E3"/>
    <w:rsid w:val="0FC95E75"/>
    <w:rsid w:val="0FD146C5"/>
    <w:rsid w:val="10082EB6"/>
    <w:rsid w:val="1028629D"/>
    <w:rsid w:val="104E26BF"/>
    <w:rsid w:val="104F3929"/>
    <w:rsid w:val="105D36FE"/>
    <w:rsid w:val="10692AC2"/>
    <w:rsid w:val="107A78DA"/>
    <w:rsid w:val="107B371A"/>
    <w:rsid w:val="1084524A"/>
    <w:rsid w:val="10DC3590"/>
    <w:rsid w:val="10E21D49"/>
    <w:rsid w:val="10EA39CE"/>
    <w:rsid w:val="10FB387F"/>
    <w:rsid w:val="10FB74BF"/>
    <w:rsid w:val="111156C1"/>
    <w:rsid w:val="111972EE"/>
    <w:rsid w:val="113849FC"/>
    <w:rsid w:val="113B4A52"/>
    <w:rsid w:val="11440BE5"/>
    <w:rsid w:val="114640E8"/>
    <w:rsid w:val="11470A12"/>
    <w:rsid w:val="11764849"/>
    <w:rsid w:val="11770942"/>
    <w:rsid w:val="117B32BD"/>
    <w:rsid w:val="11845641"/>
    <w:rsid w:val="11B20C52"/>
    <w:rsid w:val="11B83122"/>
    <w:rsid w:val="11CA303C"/>
    <w:rsid w:val="11DA10D8"/>
    <w:rsid w:val="11DC0AA5"/>
    <w:rsid w:val="11ED22F7"/>
    <w:rsid w:val="11F32E4C"/>
    <w:rsid w:val="11F56C74"/>
    <w:rsid w:val="121534BC"/>
    <w:rsid w:val="12193AFD"/>
    <w:rsid w:val="121C60CC"/>
    <w:rsid w:val="12295E7D"/>
    <w:rsid w:val="123E0DFD"/>
    <w:rsid w:val="1256746E"/>
    <w:rsid w:val="125A03CD"/>
    <w:rsid w:val="12832EBF"/>
    <w:rsid w:val="12841571"/>
    <w:rsid w:val="12A96320"/>
    <w:rsid w:val="12B01397"/>
    <w:rsid w:val="12B33D73"/>
    <w:rsid w:val="12CD4BAE"/>
    <w:rsid w:val="12D40754"/>
    <w:rsid w:val="12D71EE1"/>
    <w:rsid w:val="12E6735C"/>
    <w:rsid w:val="1303403E"/>
    <w:rsid w:val="13180760"/>
    <w:rsid w:val="13300A18"/>
    <w:rsid w:val="133441B3"/>
    <w:rsid w:val="1346072F"/>
    <w:rsid w:val="134B6026"/>
    <w:rsid w:val="13510A26"/>
    <w:rsid w:val="13515442"/>
    <w:rsid w:val="135875D7"/>
    <w:rsid w:val="135D699C"/>
    <w:rsid w:val="13650603"/>
    <w:rsid w:val="13684E9C"/>
    <w:rsid w:val="136917E4"/>
    <w:rsid w:val="136B5578"/>
    <w:rsid w:val="136F1779"/>
    <w:rsid w:val="137974FF"/>
    <w:rsid w:val="13833692"/>
    <w:rsid w:val="13893636"/>
    <w:rsid w:val="13987DB4"/>
    <w:rsid w:val="13A117B4"/>
    <w:rsid w:val="13B10E5E"/>
    <w:rsid w:val="13B363E0"/>
    <w:rsid w:val="13C44B8A"/>
    <w:rsid w:val="13C540FC"/>
    <w:rsid w:val="13D8547C"/>
    <w:rsid w:val="13DC75A4"/>
    <w:rsid w:val="13E33120"/>
    <w:rsid w:val="13E62E35"/>
    <w:rsid w:val="13EC34E5"/>
    <w:rsid w:val="13FD3CDB"/>
    <w:rsid w:val="14190AC4"/>
    <w:rsid w:val="14245587"/>
    <w:rsid w:val="143D6344"/>
    <w:rsid w:val="143F0636"/>
    <w:rsid w:val="144C0FB4"/>
    <w:rsid w:val="14575AE1"/>
    <w:rsid w:val="146464BB"/>
    <w:rsid w:val="146C3610"/>
    <w:rsid w:val="14706BA3"/>
    <w:rsid w:val="14807650"/>
    <w:rsid w:val="149B08DC"/>
    <w:rsid w:val="149E54BE"/>
    <w:rsid w:val="14CE59EA"/>
    <w:rsid w:val="14DA74C7"/>
    <w:rsid w:val="14E24C7A"/>
    <w:rsid w:val="14E34525"/>
    <w:rsid w:val="15131A84"/>
    <w:rsid w:val="153579F9"/>
    <w:rsid w:val="15487AFB"/>
    <w:rsid w:val="15491CF9"/>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1E2FD6"/>
    <w:rsid w:val="16383B80"/>
    <w:rsid w:val="163D2AB4"/>
    <w:rsid w:val="16450C97"/>
    <w:rsid w:val="16533079"/>
    <w:rsid w:val="16563013"/>
    <w:rsid w:val="16651F56"/>
    <w:rsid w:val="1675224E"/>
    <w:rsid w:val="16822CFB"/>
    <w:rsid w:val="168D108C"/>
    <w:rsid w:val="16A67A37"/>
    <w:rsid w:val="16AA7D9E"/>
    <w:rsid w:val="16C90357"/>
    <w:rsid w:val="16D326D7"/>
    <w:rsid w:val="16DC407B"/>
    <w:rsid w:val="16F26832"/>
    <w:rsid w:val="17144E25"/>
    <w:rsid w:val="17224E02"/>
    <w:rsid w:val="172F4118"/>
    <w:rsid w:val="17334DF1"/>
    <w:rsid w:val="174540BD"/>
    <w:rsid w:val="17494CC2"/>
    <w:rsid w:val="174F49CD"/>
    <w:rsid w:val="175B5F64"/>
    <w:rsid w:val="17620A24"/>
    <w:rsid w:val="178751D9"/>
    <w:rsid w:val="17A10651"/>
    <w:rsid w:val="17A66FF5"/>
    <w:rsid w:val="17D06220"/>
    <w:rsid w:val="17E85AC5"/>
    <w:rsid w:val="18027B12"/>
    <w:rsid w:val="18077A2D"/>
    <w:rsid w:val="1830386B"/>
    <w:rsid w:val="18324C3F"/>
    <w:rsid w:val="18345F44"/>
    <w:rsid w:val="18357CFB"/>
    <w:rsid w:val="183D3240"/>
    <w:rsid w:val="18430CCB"/>
    <w:rsid w:val="18522F76"/>
    <w:rsid w:val="185C7A25"/>
    <w:rsid w:val="1862578F"/>
    <w:rsid w:val="188D6746"/>
    <w:rsid w:val="188E5E55"/>
    <w:rsid w:val="18930C11"/>
    <w:rsid w:val="18BB5017"/>
    <w:rsid w:val="18CC5500"/>
    <w:rsid w:val="18DA0A8E"/>
    <w:rsid w:val="18DC3B60"/>
    <w:rsid w:val="18E27836"/>
    <w:rsid w:val="18E637EA"/>
    <w:rsid w:val="18EE1B86"/>
    <w:rsid w:val="18FC27B3"/>
    <w:rsid w:val="18FC310E"/>
    <w:rsid w:val="19015AD7"/>
    <w:rsid w:val="19285748"/>
    <w:rsid w:val="19412BFE"/>
    <w:rsid w:val="19566985"/>
    <w:rsid w:val="195F7C30"/>
    <w:rsid w:val="196056B2"/>
    <w:rsid w:val="19680B28"/>
    <w:rsid w:val="196B01BF"/>
    <w:rsid w:val="197A4BF2"/>
    <w:rsid w:val="19AB482C"/>
    <w:rsid w:val="19BD63E6"/>
    <w:rsid w:val="19FD1DFB"/>
    <w:rsid w:val="1A0738C1"/>
    <w:rsid w:val="1A0A60E9"/>
    <w:rsid w:val="1A0D57CA"/>
    <w:rsid w:val="1A220020"/>
    <w:rsid w:val="1A481FA6"/>
    <w:rsid w:val="1A4E5290"/>
    <w:rsid w:val="1A5823C6"/>
    <w:rsid w:val="1A643C5B"/>
    <w:rsid w:val="1A690C8F"/>
    <w:rsid w:val="1A7651FA"/>
    <w:rsid w:val="1A9C7638"/>
    <w:rsid w:val="1ABA6BE8"/>
    <w:rsid w:val="1AD25EC1"/>
    <w:rsid w:val="1AD80FFE"/>
    <w:rsid w:val="1AD95F08"/>
    <w:rsid w:val="1AE60D31"/>
    <w:rsid w:val="1AE94D58"/>
    <w:rsid w:val="1B187FA0"/>
    <w:rsid w:val="1B363FB3"/>
    <w:rsid w:val="1B400146"/>
    <w:rsid w:val="1B575FC4"/>
    <w:rsid w:val="1B59213E"/>
    <w:rsid w:val="1B5A129B"/>
    <w:rsid w:val="1B715091"/>
    <w:rsid w:val="1B726396"/>
    <w:rsid w:val="1B826631"/>
    <w:rsid w:val="1B8E2FB5"/>
    <w:rsid w:val="1BA86FE3"/>
    <w:rsid w:val="1BB004AD"/>
    <w:rsid w:val="1BC229A4"/>
    <w:rsid w:val="1BC3238D"/>
    <w:rsid w:val="1BC72FED"/>
    <w:rsid w:val="1BC96DA5"/>
    <w:rsid w:val="1BCB46BE"/>
    <w:rsid w:val="1BD73B3C"/>
    <w:rsid w:val="1BF12377"/>
    <w:rsid w:val="1BF73705"/>
    <w:rsid w:val="1C0025BA"/>
    <w:rsid w:val="1C00530A"/>
    <w:rsid w:val="1C016EFF"/>
    <w:rsid w:val="1C0E2F29"/>
    <w:rsid w:val="1C381D54"/>
    <w:rsid w:val="1C387059"/>
    <w:rsid w:val="1C504EAB"/>
    <w:rsid w:val="1C5C1105"/>
    <w:rsid w:val="1C5E064B"/>
    <w:rsid w:val="1C7A236C"/>
    <w:rsid w:val="1CA12143"/>
    <w:rsid w:val="1CBA09BB"/>
    <w:rsid w:val="1CBB2985"/>
    <w:rsid w:val="1CCE4466"/>
    <w:rsid w:val="1CD0325F"/>
    <w:rsid w:val="1CD34CD9"/>
    <w:rsid w:val="1CE01DF0"/>
    <w:rsid w:val="1CE27AFE"/>
    <w:rsid w:val="1CF2439F"/>
    <w:rsid w:val="1D0205B4"/>
    <w:rsid w:val="1D053ADB"/>
    <w:rsid w:val="1D085BCA"/>
    <w:rsid w:val="1D0F1968"/>
    <w:rsid w:val="1D122720"/>
    <w:rsid w:val="1D1F4309"/>
    <w:rsid w:val="1D2302DB"/>
    <w:rsid w:val="1D301809"/>
    <w:rsid w:val="1D3E218A"/>
    <w:rsid w:val="1D453D13"/>
    <w:rsid w:val="1D4E0DCB"/>
    <w:rsid w:val="1D6B2D1C"/>
    <w:rsid w:val="1D6D3C7F"/>
    <w:rsid w:val="1D783268"/>
    <w:rsid w:val="1D87544D"/>
    <w:rsid w:val="1D9822C6"/>
    <w:rsid w:val="1DA86D22"/>
    <w:rsid w:val="1DAD1AB6"/>
    <w:rsid w:val="1DB807CF"/>
    <w:rsid w:val="1DB84052"/>
    <w:rsid w:val="1DF0665E"/>
    <w:rsid w:val="1DF45021"/>
    <w:rsid w:val="1DF90653"/>
    <w:rsid w:val="1E0F41EC"/>
    <w:rsid w:val="1E205195"/>
    <w:rsid w:val="1E3511F3"/>
    <w:rsid w:val="1E3A48B1"/>
    <w:rsid w:val="1E422931"/>
    <w:rsid w:val="1E451C37"/>
    <w:rsid w:val="1E5310C7"/>
    <w:rsid w:val="1E5B61F8"/>
    <w:rsid w:val="1E5C30C8"/>
    <w:rsid w:val="1E621C8E"/>
    <w:rsid w:val="1E6F3F54"/>
    <w:rsid w:val="1E9D2CA9"/>
    <w:rsid w:val="1EA913DC"/>
    <w:rsid w:val="1EAF54E3"/>
    <w:rsid w:val="1EB23191"/>
    <w:rsid w:val="1EBF357F"/>
    <w:rsid w:val="1EDA0C11"/>
    <w:rsid w:val="1EEC6612"/>
    <w:rsid w:val="1EF15053"/>
    <w:rsid w:val="1F0B0800"/>
    <w:rsid w:val="1F3C0119"/>
    <w:rsid w:val="1F4A3163"/>
    <w:rsid w:val="1F4D40E8"/>
    <w:rsid w:val="1F515AC7"/>
    <w:rsid w:val="1F5E41C7"/>
    <w:rsid w:val="1F63408D"/>
    <w:rsid w:val="1F6D6B9B"/>
    <w:rsid w:val="1F721A21"/>
    <w:rsid w:val="1F90436C"/>
    <w:rsid w:val="1F910080"/>
    <w:rsid w:val="1FA40CD6"/>
    <w:rsid w:val="1FBF4B26"/>
    <w:rsid w:val="1FC57184"/>
    <w:rsid w:val="1FDE74F9"/>
    <w:rsid w:val="200C3221"/>
    <w:rsid w:val="201F2242"/>
    <w:rsid w:val="20242025"/>
    <w:rsid w:val="202A5E57"/>
    <w:rsid w:val="20407429"/>
    <w:rsid w:val="20510A2A"/>
    <w:rsid w:val="20592BE1"/>
    <w:rsid w:val="206F54C4"/>
    <w:rsid w:val="207143EB"/>
    <w:rsid w:val="207812B9"/>
    <w:rsid w:val="207D47DA"/>
    <w:rsid w:val="20875058"/>
    <w:rsid w:val="20896A66"/>
    <w:rsid w:val="20907F89"/>
    <w:rsid w:val="20A01F11"/>
    <w:rsid w:val="20A5599E"/>
    <w:rsid w:val="20A70EA1"/>
    <w:rsid w:val="20BC55C4"/>
    <w:rsid w:val="20BE2A44"/>
    <w:rsid w:val="20CA501D"/>
    <w:rsid w:val="20CE6D68"/>
    <w:rsid w:val="20CF1C35"/>
    <w:rsid w:val="20E67BE0"/>
    <w:rsid w:val="20F644A4"/>
    <w:rsid w:val="20F95428"/>
    <w:rsid w:val="210C1A01"/>
    <w:rsid w:val="211749D8"/>
    <w:rsid w:val="211A411E"/>
    <w:rsid w:val="211D776A"/>
    <w:rsid w:val="212B3679"/>
    <w:rsid w:val="21384B83"/>
    <w:rsid w:val="213B5E42"/>
    <w:rsid w:val="21572348"/>
    <w:rsid w:val="21771B35"/>
    <w:rsid w:val="217B6E8F"/>
    <w:rsid w:val="2185500C"/>
    <w:rsid w:val="218B6F16"/>
    <w:rsid w:val="21A400A0"/>
    <w:rsid w:val="21A97250"/>
    <w:rsid w:val="21AB744A"/>
    <w:rsid w:val="21B0012A"/>
    <w:rsid w:val="21B14BD7"/>
    <w:rsid w:val="21B77BBF"/>
    <w:rsid w:val="21BE7D8E"/>
    <w:rsid w:val="21BF60EB"/>
    <w:rsid w:val="21C37C15"/>
    <w:rsid w:val="21C84315"/>
    <w:rsid w:val="21D246A9"/>
    <w:rsid w:val="21D942BB"/>
    <w:rsid w:val="21E5239A"/>
    <w:rsid w:val="21EA1D42"/>
    <w:rsid w:val="21F66939"/>
    <w:rsid w:val="21FB192E"/>
    <w:rsid w:val="220172ED"/>
    <w:rsid w:val="2217240B"/>
    <w:rsid w:val="222D4521"/>
    <w:rsid w:val="22651ECE"/>
    <w:rsid w:val="22710E72"/>
    <w:rsid w:val="22801147"/>
    <w:rsid w:val="22A10C5C"/>
    <w:rsid w:val="22B1477A"/>
    <w:rsid w:val="22B569E9"/>
    <w:rsid w:val="22C01AA7"/>
    <w:rsid w:val="22D35FB3"/>
    <w:rsid w:val="22D56430"/>
    <w:rsid w:val="22D8424D"/>
    <w:rsid w:val="22E61751"/>
    <w:rsid w:val="22F242F0"/>
    <w:rsid w:val="22F95B0A"/>
    <w:rsid w:val="2302130E"/>
    <w:rsid w:val="230A068C"/>
    <w:rsid w:val="231F3C6E"/>
    <w:rsid w:val="232242AD"/>
    <w:rsid w:val="23475B35"/>
    <w:rsid w:val="234D0922"/>
    <w:rsid w:val="235C6C70"/>
    <w:rsid w:val="235D2694"/>
    <w:rsid w:val="23614286"/>
    <w:rsid w:val="23623360"/>
    <w:rsid w:val="23651C9F"/>
    <w:rsid w:val="2375712B"/>
    <w:rsid w:val="23777AB7"/>
    <w:rsid w:val="2378337E"/>
    <w:rsid w:val="238002CA"/>
    <w:rsid w:val="238F60D5"/>
    <w:rsid w:val="239D70CC"/>
    <w:rsid w:val="23BA4FAC"/>
    <w:rsid w:val="23CB16FF"/>
    <w:rsid w:val="23E8649C"/>
    <w:rsid w:val="23EA577B"/>
    <w:rsid w:val="23F23130"/>
    <w:rsid w:val="23F30609"/>
    <w:rsid w:val="23FA5A14"/>
    <w:rsid w:val="241412F8"/>
    <w:rsid w:val="241B61C8"/>
    <w:rsid w:val="24236BDA"/>
    <w:rsid w:val="244377C9"/>
    <w:rsid w:val="24746E9C"/>
    <w:rsid w:val="2477734D"/>
    <w:rsid w:val="24791B67"/>
    <w:rsid w:val="24865DB9"/>
    <w:rsid w:val="24A16B4E"/>
    <w:rsid w:val="24A51F50"/>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A76CA1"/>
    <w:rsid w:val="25B85CA6"/>
    <w:rsid w:val="25B924F3"/>
    <w:rsid w:val="25CF0DC8"/>
    <w:rsid w:val="25DB557C"/>
    <w:rsid w:val="25F21C3F"/>
    <w:rsid w:val="2603166E"/>
    <w:rsid w:val="260B2287"/>
    <w:rsid w:val="260B672B"/>
    <w:rsid w:val="261750D0"/>
    <w:rsid w:val="261C3001"/>
    <w:rsid w:val="26222264"/>
    <w:rsid w:val="262F59B5"/>
    <w:rsid w:val="266D329C"/>
    <w:rsid w:val="267E5CB6"/>
    <w:rsid w:val="268D2DA0"/>
    <w:rsid w:val="26977AEE"/>
    <w:rsid w:val="26A24A66"/>
    <w:rsid w:val="26BE2301"/>
    <w:rsid w:val="26CC0ECA"/>
    <w:rsid w:val="26D332DC"/>
    <w:rsid w:val="26D46DA1"/>
    <w:rsid w:val="26D66D39"/>
    <w:rsid w:val="270F5BCF"/>
    <w:rsid w:val="272623F8"/>
    <w:rsid w:val="272E0923"/>
    <w:rsid w:val="276A1EBA"/>
    <w:rsid w:val="276E08C0"/>
    <w:rsid w:val="277427C9"/>
    <w:rsid w:val="2779507C"/>
    <w:rsid w:val="277E2C49"/>
    <w:rsid w:val="279010FF"/>
    <w:rsid w:val="27924C4A"/>
    <w:rsid w:val="279C2917"/>
    <w:rsid w:val="279F519A"/>
    <w:rsid w:val="27A45517"/>
    <w:rsid w:val="27AA5AD0"/>
    <w:rsid w:val="27B01338"/>
    <w:rsid w:val="27B97A3A"/>
    <w:rsid w:val="27C22649"/>
    <w:rsid w:val="27C923FA"/>
    <w:rsid w:val="27D50D9F"/>
    <w:rsid w:val="27F15616"/>
    <w:rsid w:val="27F42830"/>
    <w:rsid w:val="280129BA"/>
    <w:rsid w:val="280E29C8"/>
    <w:rsid w:val="28154197"/>
    <w:rsid w:val="282370EA"/>
    <w:rsid w:val="282A31F1"/>
    <w:rsid w:val="28331903"/>
    <w:rsid w:val="283420B1"/>
    <w:rsid w:val="28412892"/>
    <w:rsid w:val="28637626"/>
    <w:rsid w:val="286C4F60"/>
    <w:rsid w:val="287C56BE"/>
    <w:rsid w:val="28983825"/>
    <w:rsid w:val="28B135BA"/>
    <w:rsid w:val="28B81B5C"/>
    <w:rsid w:val="28CD286D"/>
    <w:rsid w:val="28DA5593"/>
    <w:rsid w:val="28ED0D31"/>
    <w:rsid w:val="28F2772E"/>
    <w:rsid w:val="28F72945"/>
    <w:rsid w:val="28FE60C3"/>
    <w:rsid w:val="29086F52"/>
    <w:rsid w:val="291104DB"/>
    <w:rsid w:val="295108F9"/>
    <w:rsid w:val="295E607F"/>
    <w:rsid w:val="296A19BB"/>
    <w:rsid w:val="298567F4"/>
    <w:rsid w:val="2987256D"/>
    <w:rsid w:val="29894181"/>
    <w:rsid w:val="298F4F7D"/>
    <w:rsid w:val="2996683F"/>
    <w:rsid w:val="29B9024C"/>
    <w:rsid w:val="29C7365C"/>
    <w:rsid w:val="29C966E1"/>
    <w:rsid w:val="29D55086"/>
    <w:rsid w:val="29F70D19"/>
    <w:rsid w:val="2A000BF9"/>
    <w:rsid w:val="2A026DDA"/>
    <w:rsid w:val="2A0C569A"/>
    <w:rsid w:val="2A0D75E3"/>
    <w:rsid w:val="2A2403B3"/>
    <w:rsid w:val="2A24682F"/>
    <w:rsid w:val="2A2542B1"/>
    <w:rsid w:val="2A2803A2"/>
    <w:rsid w:val="2A282CB7"/>
    <w:rsid w:val="2A3B1CD8"/>
    <w:rsid w:val="2A505ABB"/>
    <w:rsid w:val="2A5A6D09"/>
    <w:rsid w:val="2A5C7555"/>
    <w:rsid w:val="2A71013E"/>
    <w:rsid w:val="2A7F0300"/>
    <w:rsid w:val="2A7F518B"/>
    <w:rsid w:val="2A897858"/>
    <w:rsid w:val="2AA932E7"/>
    <w:rsid w:val="2AAE7F81"/>
    <w:rsid w:val="2ABA24CE"/>
    <w:rsid w:val="2AD92954"/>
    <w:rsid w:val="2ADB2B70"/>
    <w:rsid w:val="2ADC2444"/>
    <w:rsid w:val="2AEF03C9"/>
    <w:rsid w:val="2AF21C68"/>
    <w:rsid w:val="2B0F45B6"/>
    <w:rsid w:val="2B1402D6"/>
    <w:rsid w:val="2B262EC6"/>
    <w:rsid w:val="2B4746D6"/>
    <w:rsid w:val="2B490A56"/>
    <w:rsid w:val="2B4B02A9"/>
    <w:rsid w:val="2B510E7D"/>
    <w:rsid w:val="2B5D7D13"/>
    <w:rsid w:val="2B75075B"/>
    <w:rsid w:val="2B886323"/>
    <w:rsid w:val="2B9151BF"/>
    <w:rsid w:val="2B9B099A"/>
    <w:rsid w:val="2BA45A27"/>
    <w:rsid w:val="2BA54F29"/>
    <w:rsid w:val="2BAC273D"/>
    <w:rsid w:val="2BAC62BA"/>
    <w:rsid w:val="2BBD5E0C"/>
    <w:rsid w:val="2BBF4052"/>
    <w:rsid w:val="2BC8409A"/>
    <w:rsid w:val="2BCE6231"/>
    <w:rsid w:val="2BD83508"/>
    <w:rsid w:val="2BEE0864"/>
    <w:rsid w:val="2BFF463C"/>
    <w:rsid w:val="2C2C2488"/>
    <w:rsid w:val="2C336309"/>
    <w:rsid w:val="2C401DFA"/>
    <w:rsid w:val="2C7063B4"/>
    <w:rsid w:val="2C840854"/>
    <w:rsid w:val="2C8A4A20"/>
    <w:rsid w:val="2C92742C"/>
    <w:rsid w:val="2CA433CB"/>
    <w:rsid w:val="2CA90A4C"/>
    <w:rsid w:val="2CAB0320"/>
    <w:rsid w:val="2CDA39A0"/>
    <w:rsid w:val="2CDD2F33"/>
    <w:rsid w:val="2CFE66A2"/>
    <w:rsid w:val="2D0E2A7A"/>
    <w:rsid w:val="2D121481"/>
    <w:rsid w:val="2D216218"/>
    <w:rsid w:val="2D261C60"/>
    <w:rsid w:val="2D3F3249"/>
    <w:rsid w:val="2D4228B3"/>
    <w:rsid w:val="2D664D43"/>
    <w:rsid w:val="2D78607F"/>
    <w:rsid w:val="2D7C300A"/>
    <w:rsid w:val="2D8F379E"/>
    <w:rsid w:val="2DAB617C"/>
    <w:rsid w:val="2DBB0A37"/>
    <w:rsid w:val="2DBC7EC6"/>
    <w:rsid w:val="2DBF0527"/>
    <w:rsid w:val="2DCB62A3"/>
    <w:rsid w:val="2E083F3B"/>
    <w:rsid w:val="2E0F261D"/>
    <w:rsid w:val="2E3B4E0B"/>
    <w:rsid w:val="2E4E527B"/>
    <w:rsid w:val="2E5B4C9B"/>
    <w:rsid w:val="2E623499"/>
    <w:rsid w:val="2E6668AF"/>
    <w:rsid w:val="2E6764C9"/>
    <w:rsid w:val="2E6855F6"/>
    <w:rsid w:val="2E7528AB"/>
    <w:rsid w:val="2E7A2976"/>
    <w:rsid w:val="2E870FE2"/>
    <w:rsid w:val="2E8F6794"/>
    <w:rsid w:val="2E996208"/>
    <w:rsid w:val="2EA7199A"/>
    <w:rsid w:val="2EAF13CF"/>
    <w:rsid w:val="2EB37960"/>
    <w:rsid w:val="2EBD14BC"/>
    <w:rsid w:val="2EC02CA1"/>
    <w:rsid w:val="2EC61441"/>
    <w:rsid w:val="2EE8112F"/>
    <w:rsid w:val="2EF429CF"/>
    <w:rsid w:val="2F025BDF"/>
    <w:rsid w:val="2F06464D"/>
    <w:rsid w:val="2F171749"/>
    <w:rsid w:val="2F2F348A"/>
    <w:rsid w:val="2F5A7DDB"/>
    <w:rsid w:val="2F666935"/>
    <w:rsid w:val="2F752008"/>
    <w:rsid w:val="2F8337D6"/>
    <w:rsid w:val="2F893A0E"/>
    <w:rsid w:val="2F8B2EB9"/>
    <w:rsid w:val="2FAA7CA3"/>
    <w:rsid w:val="2FAA7E40"/>
    <w:rsid w:val="2FB248C3"/>
    <w:rsid w:val="2FB36551"/>
    <w:rsid w:val="2FBC2844"/>
    <w:rsid w:val="2FD84CAE"/>
    <w:rsid w:val="2FFC6134"/>
    <w:rsid w:val="300701D9"/>
    <w:rsid w:val="301104EC"/>
    <w:rsid w:val="30133FEC"/>
    <w:rsid w:val="30153013"/>
    <w:rsid w:val="30153334"/>
    <w:rsid w:val="301949EE"/>
    <w:rsid w:val="301B57BD"/>
    <w:rsid w:val="302C79CA"/>
    <w:rsid w:val="30360848"/>
    <w:rsid w:val="30432F59"/>
    <w:rsid w:val="305112C3"/>
    <w:rsid w:val="30527354"/>
    <w:rsid w:val="30601421"/>
    <w:rsid w:val="306B247C"/>
    <w:rsid w:val="307003A6"/>
    <w:rsid w:val="30866529"/>
    <w:rsid w:val="308974AE"/>
    <w:rsid w:val="308B29B1"/>
    <w:rsid w:val="308F0036"/>
    <w:rsid w:val="309410C2"/>
    <w:rsid w:val="30A25EDE"/>
    <w:rsid w:val="30B20672"/>
    <w:rsid w:val="30B27249"/>
    <w:rsid w:val="30CF42B4"/>
    <w:rsid w:val="30D23125"/>
    <w:rsid w:val="30E107B4"/>
    <w:rsid w:val="30E51140"/>
    <w:rsid w:val="30F85C3B"/>
    <w:rsid w:val="30FD0AD3"/>
    <w:rsid w:val="310C0E96"/>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A0EA5"/>
    <w:rsid w:val="31D40319"/>
    <w:rsid w:val="31D64821"/>
    <w:rsid w:val="31D64EC5"/>
    <w:rsid w:val="31FC04FB"/>
    <w:rsid w:val="32075108"/>
    <w:rsid w:val="32317ABF"/>
    <w:rsid w:val="32353291"/>
    <w:rsid w:val="325D18AF"/>
    <w:rsid w:val="32697CF5"/>
    <w:rsid w:val="327D450D"/>
    <w:rsid w:val="32885138"/>
    <w:rsid w:val="32953A54"/>
    <w:rsid w:val="329F2634"/>
    <w:rsid w:val="32B85544"/>
    <w:rsid w:val="32C4309F"/>
    <w:rsid w:val="32DB0F7C"/>
    <w:rsid w:val="32DB47FF"/>
    <w:rsid w:val="32E54213"/>
    <w:rsid w:val="32EA3795"/>
    <w:rsid w:val="32EA3FE2"/>
    <w:rsid w:val="32EF7C1D"/>
    <w:rsid w:val="331658DE"/>
    <w:rsid w:val="331C3A9A"/>
    <w:rsid w:val="33301D0B"/>
    <w:rsid w:val="3332520E"/>
    <w:rsid w:val="33361C3D"/>
    <w:rsid w:val="33384CA1"/>
    <w:rsid w:val="33471930"/>
    <w:rsid w:val="335D1CC5"/>
    <w:rsid w:val="337D5EB4"/>
    <w:rsid w:val="337D6587"/>
    <w:rsid w:val="339139D3"/>
    <w:rsid w:val="339562DA"/>
    <w:rsid w:val="339B5B37"/>
    <w:rsid w:val="33BB606C"/>
    <w:rsid w:val="33C5697B"/>
    <w:rsid w:val="33D56AE0"/>
    <w:rsid w:val="33D90E9F"/>
    <w:rsid w:val="33E800AC"/>
    <w:rsid w:val="33EA422B"/>
    <w:rsid w:val="34121EC5"/>
    <w:rsid w:val="341449FD"/>
    <w:rsid w:val="34153282"/>
    <w:rsid w:val="3416543E"/>
    <w:rsid w:val="341F3B92"/>
    <w:rsid w:val="342F3BA3"/>
    <w:rsid w:val="343D21A6"/>
    <w:rsid w:val="34592D57"/>
    <w:rsid w:val="34651F7F"/>
    <w:rsid w:val="34802290"/>
    <w:rsid w:val="34825E35"/>
    <w:rsid w:val="34907B91"/>
    <w:rsid w:val="34A22009"/>
    <w:rsid w:val="34B03955"/>
    <w:rsid w:val="34E5114A"/>
    <w:rsid w:val="34E54854"/>
    <w:rsid w:val="34EB58BD"/>
    <w:rsid w:val="34EC3F9F"/>
    <w:rsid w:val="34F77FF2"/>
    <w:rsid w:val="34FF56AD"/>
    <w:rsid w:val="351A72AD"/>
    <w:rsid w:val="352300E7"/>
    <w:rsid w:val="352E3D4F"/>
    <w:rsid w:val="354444AC"/>
    <w:rsid w:val="355F671C"/>
    <w:rsid w:val="355F7EFA"/>
    <w:rsid w:val="356F47B8"/>
    <w:rsid w:val="357D01F7"/>
    <w:rsid w:val="35824F96"/>
    <w:rsid w:val="35AE3564"/>
    <w:rsid w:val="35BC36A0"/>
    <w:rsid w:val="35C366DA"/>
    <w:rsid w:val="35C651C7"/>
    <w:rsid w:val="35CC5FB4"/>
    <w:rsid w:val="35CD2C9E"/>
    <w:rsid w:val="35D41F5E"/>
    <w:rsid w:val="35EF10B3"/>
    <w:rsid w:val="35F9034E"/>
    <w:rsid w:val="361F1786"/>
    <w:rsid w:val="36252EF1"/>
    <w:rsid w:val="363A3E94"/>
    <w:rsid w:val="36541F37"/>
    <w:rsid w:val="366C3230"/>
    <w:rsid w:val="367871E9"/>
    <w:rsid w:val="368A1C5C"/>
    <w:rsid w:val="368E4C10"/>
    <w:rsid w:val="369E4A52"/>
    <w:rsid w:val="36D6705D"/>
    <w:rsid w:val="36D80507"/>
    <w:rsid w:val="36D95F89"/>
    <w:rsid w:val="36EF012D"/>
    <w:rsid w:val="36EF34FF"/>
    <w:rsid w:val="36F626F5"/>
    <w:rsid w:val="37005384"/>
    <w:rsid w:val="370116CC"/>
    <w:rsid w:val="370451FC"/>
    <w:rsid w:val="3707541C"/>
    <w:rsid w:val="371F40D7"/>
    <w:rsid w:val="373C3BD5"/>
    <w:rsid w:val="374E17CB"/>
    <w:rsid w:val="37607F59"/>
    <w:rsid w:val="378E0F6A"/>
    <w:rsid w:val="379028BA"/>
    <w:rsid w:val="379A126C"/>
    <w:rsid w:val="379D5206"/>
    <w:rsid w:val="37B620F4"/>
    <w:rsid w:val="37BF4F82"/>
    <w:rsid w:val="37DF3574"/>
    <w:rsid w:val="38066D52"/>
    <w:rsid w:val="380A0E63"/>
    <w:rsid w:val="38163139"/>
    <w:rsid w:val="381A4397"/>
    <w:rsid w:val="38253A2D"/>
    <w:rsid w:val="38332099"/>
    <w:rsid w:val="383B234D"/>
    <w:rsid w:val="38402264"/>
    <w:rsid w:val="384F06F9"/>
    <w:rsid w:val="38527D74"/>
    <w:rsid w:val="385E26EA"/>
    <w:rsid w:val="385E740A"/>
    <w:rsid w:val="38697999"/>
    <w:rsid w:val="386A0C9E"/>
    <w:rsid w:val="38730223"/>
    <w:rsid w:val="388572C9"/>
    <w:rsid w:val="38864D4B"/>
    <w:rsid w:val="388F1DD7"/>
    <w:rsid w:val="38912AC0"/>
    <w:rsid w:val="38AE268C"/>
    <w:rsid w:val="38C84008"/>
    <w:rsid w:val="38CB7A3E"/>
    <w:rsid w:val="38CF183A"/>
    <w:rsid w:val="38E27663"/>
    <w:rsid w:val="39155B04"/>
    <w:rsid w:val="391B05DB"/>
    <w:rsid w:val="392B32DA"/>
    <w:rsid w:val="394538AA"/>
    <w:rsid w:val="39456083"/>
    <w:rsid w:val="3955411F"/>
    <w:rsid w:val="395B6028"/>
    <w:rsid w:val="39691347"/>
    <w:rsid w:val="396E5985"/>
    <w:rsid w:val="397F500E"/>
    <w:rsid w:val="39806B4E"/>
    <w:rsid w:val="39820A82"/>
    <w:rsid w:val="39934616"/>
    <w:rsid w:val="399E325D"/>
    <w:rsid w:val="399F0A89"/>
    <w:rsid w:val="39AA790D"/>
    <w:rsid w:val="39E9692C"/>
    <w:rsid w:val="3A03088E"/>
    <w:rsid w:val="3A124BCC"/>
    <w:rsid w:val="3A1741DD"/>
    <w:rsid w:val="3A1E4827"/>
    <w:rsid w:val="3A1F40FB"/>
    <w:rsid w:val="3A255BB6"/>
    <w:rsid w:val="3A3229FE"/>
    <w:rsid w:val="3A3F1B1E"/>
    <w:rsid w:val="3A793EC2"/>
    <w:rsid w:val="3A9A1B01"/>
    <w:rsid w:val="3AC059F9"/>
    <w:rsid w:val="3AD57A93"/>
    <w:rsid w:val="3AD76784"/>
    <w:rsid w:val="3ADC5990"/>
    <w:rsid w:val="3ADF0D1D"/>
    <w:rsid w:val="3AE04600"/>
    <w:rsid w:val="3AF947CF"/>
    <w:rsid w:val="3B003F2D"/>
    <w:rsid w:val="3B0F23C2"/>
    <w:rsid w:val="3B1479D8"/>
    <w:rsid w:val="3B344138"/>
    <w:rsid w:val="3B3B31B7"/>
    <w:rsid w:val="3B3F720A"/>
    <w:rsid w:val="3B5B1163"/>
    <w:rsid w:val="3B9C7DED"/>
    <w:rsid w:val="3BA26D92"/>
    <w:rsid w:val="3BA62150"/>
    <w:rsid w:val="3BAC7AF6"/>
    <w:rsid w:val="3BB05953"/>
    <w:rsid w:val="3BC05FBB"/>
    <w:rsid w:val="3BC44F5A"/>
    <w:rsid w:val="3BCB12A4"/>
    <w:rsid w:val="3BD07F9E"/>
    <w:rsid w:val="3BDE5D47"/>
    <w:rsid w:val="3BE47C50"/>
    <w:rsid w:val="3BEC3774"/>
    <w:rsid w:val="3BF369DE"/>
    <w:rsid w:val="3BF70E6F"/>
    <w:rsid w:val="3BFD5C1E"/>
    <w:rsid w:val="3BFF5BFB"/>
    <w:rsid w:val="3C01177E"/>
    <w:rsid w:val="3C136F60"/>
    <w:rsid w:val="3C173922"/>
    <w:rsid w:val="3C1C7DAA"/>
    <w:rsid w:val="3C292943"/>
    <w:rsid w:val="3C294B9E"/>
    <w:rsid w:val="3C504D81"/>
    <w:rsid w:val="3C616320"/>
    <w:rsid w:val="3C662E76"/>
    <w:rsid w:val="3C6B206F"/>
    <w:rsid w:val="3C6F7834"/>
    <w:rsid w:val="3C751E2D"/>
    <w:rsid w:val="3C774C40"/>
    <w:rsid w:val="3C7D43E9"/>
    <w:rsid w:val="3C810DD3"/>
    <w:rsid w:val="3C8342D6"/>
    <w:rsid w:val="3C9035EC"/>
    <w:rsid w:val="3C9167E0"/>
    <w:rsid w:val="3C926AEF"/>
    <w:rsid w:val="3CA442DF"/>
    <w:rsid w:val="3CB66F99"/>
    <w:rsid w:val="3CBD65EE"/>
    <w:rsid w:val="3CC83746"/>
    <w:rsid w:val="3CDE0EAF"/>
    <w:rsid w:val="3CE62CF6"/>
    <w:rsid w:val="3CED5F04"/>
    <w:rsid w:val="3CF05F53"/>
    <w:rsid w:val="3D1D5F62"/>
    <w:rsid w:val="3D233718"/>
    <w:rsid w:val="3D395934"/>
    <w:rsid w:val="3D515BBF"/>
    <w:rsid w:val="3D5278E3"/>
    <w:rsid w:val="3D6C3AFB"/>
    <w:rsid w:val="3D72615D"/>
    <w:rsid w:val="3D733BDF"/>
    <w:rsid w:val="3D8449A1"/>
    <w:rsid w:val="3D87623F"/>
    <w:rsid w:val="3D8B431A"/>
    <w:rsid w:val="3DA037A5"/>
    <w:rsid w:val="3DA46DF1"/>
    <w:rsid w:val="3DD2267A"/>
    <w:rsid w:val="3DD3167A"/>
    <w:rsid w:val="3DD55670"/>
    <w:rsid w:val="3DE7087F"/>
    <w:rsid w:val="3DE970A0"/>
    <w:rsid w:val="3DF9513C"/>
    <w:rsid w:val="3E3F09CE"/>
    <w:rsid w:val="3E4238B7"/>
    <w:rsid w:val="3E4464B5"/>
    <w:rsid w:val="3E4B54BF"/>
    <w:rsid w:val="3E52548F"/>
    <w:rsid w:val="3E5E28E2"/>
    <w:rsid w:val="3E75253C"/>
    <w:rsid w:val="3E78548D"/>
    <w:rsid w:val="3E7A2248"/>
    <w:rsid w:val="3EB66257"/>
    <w:rsid w:val="3EB966EC"/>
    <w:rsid w:val="3EBA20C6"/>
    <w:rsid w:val="3EBB2C7C"/>
    <w:rsid w:val="3EBC4E7A"/>
    <w:rsid w:val="3EC11302"/>
    <w:rsid w:val="3ED40DD5"/>
    <w:rsid w:val="3EEA1576"/>
    <w:rsid w:val="3EFA2761"/>
    <w:rsid w:val="3F072E26"/>
    <w:rsid w:val="3F1735F3"/>
    <w:rsid w:val="3F244EC9"/>
    <w:rsid w:val="3F402B4A"/>
    <w:rsid w:val="3F495D63"/>
    <w:rsid w:val="3F6A6298"/>
    <w:rsid w:val="3F7F61DF"/>
    <w:rsid w:val="3F89361E"/>
    <w:rsid w:val="3F8F44CC"/>
    <w:rsid w:val="3F9410E8"/>
    <w:rsid w:val="3FA318F5"/>
    <w:rsid w:val="3FAC6431"/>
    <w:rsid w:val="3FB76397"/>
    <w:rsid w:val="3FBA151A"/>
    <w:rsid w:val="3FBF6165"/>
    <w:rsid w:val="3FCD5281"/>
    <w:rsid w:val="3FD63E0A"/>
    <w:rsid w:val="3FE15E75"/>
    <w:rsid w:val="3FE756BB"/>
    <w:rsid w:val="4007741B"/>
    <w:rsid w:val="401044A7"/>
    <w:rsid w:val="40185875"/>
    <w:rsid w:val="401E017D"/>
    <w:rsid w:val="403027DE"/>
    <w:rsid w:val="403D4072"/>
    <w:rsid w:val="404B1562"/>
    <w:rsid w:val="405D42B8"/>
    <w:rsid w:val="4065019B"/>
    <w:rsid w:val="406B713F"/>
    <w:rsid w:val="407231D7"/>
    <w:rsid w:val="40AC51FF"/>
    <w:rsid w:val="40B029AF"/>
    <w:rsid w:val="40B75214"/>
    <w:rsid w:val="40B830C1"/>
    <w:rsid w:val="40BE1148"/>
    <w:rsid w:val="40CC4BF7"/>
    <w:rsid w:val="40D91E85"/>
    <w:rsid w:val="40E1210B"/>
    <w:rsid w:val="40F94425"/>
    <w:rsid w:val="40F97454"/>
    <w:rsid w:val="40FA572A"/>
    <w:rsid w:val="411249BA"/>
    <w:rsid w:val="41140916"/>
    <w:rsid w:val="411E510F"/>
    <w:rsid w:val="411F4664"/>
    <w:rsid w:val="412805BB"/>
    <w:rsid w:val="413F299B"/>
    <w:rsid w:val="41523BBA"/>
    <w:rsid w:val="4182744A"/>
    <w:rsid w:val="41860619"/>
    <w:rsid w:val="41880811"/>
    <w:rsid w:val="41884094"/>
    <w:rsid w:val="419724D4"/>
    <w:rsid w:val="41BE244C"/>
    <w:rsid w:val="41CA7043"/>
    <w:rsid w:val="41D100B9"/>
    <w:rsid w:val="41D42E8E"/>
    <w:rsid w:val="41D8350E"/>
    <w:rsid w:val="41DC1814"/>
    <w:rsid w:val="41F027BE"/>
    <w:rsid w:val="41F216BC"/>
    <w:rsid w:val="4204365E"/>
    <w:rsid w:val="4214123F"/>
    <w:rsid w:val="42153698"/>
    <w:rsid w:val="421E75F3"/>
    <w:rsid w:val="423050F8"/>
    <w:rsid w:val="423170C2"/>
    <w:rsid w:val="42397034"/>
    <w:rsid w:val="42440BA3"/>
    <w:rsid w:val="424B3DD2"/>
    <w:rsid w:val="425A0B69"/>
    <w:rsid w:val="425D1AEE"/>
    <w:rsid w:val="42705CC0"/>
    <w:rsid w:val="42764C16"/>
    <w:rsid w:val="428B4A24"/>
    <w:rsid w:val="4290203A"/>
    <w:rsid w:val="42910920"/>
    <w:rsid w:val="429D007B"/>
    <w:rsid w:val="42A561D4"/>
    <w:rsid w:val="42BA508F"/>
    <w:rsid w:val="42D33CD5"/>
    <w:rsid w:val="42DA493A"/>
    <w:rsid w:val="42DF4645"/>
    <w:rsid w:val="42F13D9E"/>
    <w:rsid w:val="43036368"/>
    <w:rsid w:val="431C43A5"/>
    <w:rsid w:val="431E31A2"/>
    <w:rsid w:val="431F7F95"/>
    <w:rsid w:val="43254DBA"/>
    <w:rsid w:val="43404555"/>
    <w:rsid w:val="434A3F97"/>
    <w:rsid w:val="434B5F61"/>
    <w:rsid w:val="434D4C79"/>
    <w:rsid w:val="434D7F2B"/>
    <w:rsid w:val="437544CD"/>
    <w:rsid w:val="437955A3"/>
    <w:rsid w:val="438501B2"/>
    <w:rsid w:val="43A13550"/>
    <w:rsid w:val="43B03699"/>
    <w:rsid w:val="43B533A4"/>
    <w:rsid w:val="43BA1A2A"/>
    <w:rsid w:val="43BD25E0"/>
    <w:rsid w:val="43CE7E9D"/>
    <w:rsid w:val="43D922DF"/>
    <w:rsid w:val="43DB04EB"/>
    <w:rsid w:val="43DB3FAF"/>
    <w:rsid w:val="43EE0F7F"/>
    <w:rsid w:val="43F6182A"/>
    <w:rsid w:val="4400471D"/>
    <w:rsid w:val="440B425E"/>
    <w:rsid w:val="441E7550"/>
    <w:rsid w:val="44256EDB"/>
    <w:rsid w:val="44336526"/>
    <w:rsid w:val="44722403"/>
    <w:rsid w:val="449A491B"/>
    <w:rsid w:val="449C2EB3"/>
    <w:rsid w:val="44A06825"/>
    <w:rsid w:val="44D21876"/>
    <w:rsid w:val="44EA3560"/>
    <w:rsid w:val="450F53C4"/>
    <w:rsid w:val="45153A1F"/>
    <w:rsid w:val="451A208F"/>
    <w:rsid w:val="45203E78"/>
    <w:rsid w:val="4536479A"/>
    <w:rsid w:val="454163AE"/>
    <w:rsid w:val="45467528"/>
    <w:rsid w:val="454864B0"/>
    <w:rsid w:val="454F1D39"/>
    <w:rsid w:val="455B692F"/>
    <w:rsid w:val="4564607F"/>
    <w:rsid w:val="45746617"/>
    <w:rsid w:val="45793729"/>
    <w:rsid w:val="4582269B"/>
    <w:rsid w:val="45A81449"/>
    <w:rsid w:val="45AA3B09"/>
    <w:rsid w:val="45BA27F4"/>
    <w:rsid w:val="45BA6F71"/>
    <w:rsid w:val="45BC6CA2"/>
    <w:rsid w:val="45BE1328"/>
    <w:rsid w:val="45C35682"/>
    <w:rsid w:val="45C83D08"/>
    <w:rsid w:val="45CF6F16"/>
    <w:rsid w:val="45E41201"/>
    <w:rsid w:val="45ED1D4A"/>
    <w:rsid w:val="45ED672C"/>
    <w:rsid w:val="45F57156"/>
    <w:rsid w:val="45FA69EE"/>
    <w:rsid w:val="46054AED"/>
    <w:rsid w:val="46146386"/>
    <w:rsid w:val="461D3BE5"/>
    <w:rsid w:val="462767CE"/>
    <w:rsid w:val="46464590"/>
    <w:rsid w:val="4649335D"/>
    <w:rsid w:val="465F5C69"/>
    <w:rsid w:val="46641988"/>
    <w:rsid w:val="466850F2"/>
    <w:rsid w:val="467477B6"/>
    <w:rsid w:val="467E7FB4"/>
    <w:rsid w:val="468406EE"/>
    <w:rsid w:val="46927EFF"/>
    <w:rsid w:val="46A165C4"/>
    <w:rsid w:val="46B61793"/>
    <w:rsid w:val="46C027C2"/>
    <w:rsid w:val="46DD1652"/>
    <w:rsid w:val="46DE494D"/>
    <w:rsid w:val="46E46DDB"/>
    <w:rsid w:val="46E95465"/>
    <w:rsid w:val="46E97663"/>
    <w:rsid w:val="46F102F3"/>
    <w:rsid w:val="46F81F5C"/>
    <w:rsid w:val="46FB0C02"/>
    <w:rsid w:val="47017DBB"/>
    <w:rsid w:val="470F78A3"/>
    <w:rsid w:val="472A6618"/>
    <w:rsid w:val="472D0BDD"/>
    <w:rsid w:val="47310001"/>
    <w:rsid w:val="476218AB"/>
    <w:rsid w:val="47691236"/>
    <w:rsid w:val="476D6A52"/>
    <w:rsid w:val="477159E0"/>
    <w:rsid w:val="4776054C"/>
    <w:rsid w:val="477E06B3"/>
    <w:rsid w:val="479972EB"/>
    <w:rsid w:val="47A65F99"/>
    <w:rsid w:val="47B73BC5"/>
    <w:rsid w:val="47BC567F"/>
    <w:rsid w:val="47C94BC8"/>
    <w:rsid w:val="47F93301"/>
    <w:rsid w:val="48040BAD"/>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D81343"/>
    <w:rsid w:val="48F74BC1"/>
    <w:rsid w:val="492846DE"/>
    <w:rsid w:val="49562FE0"/>
    <w:rsid w:val="49652CD0"/>
    <w:rsid w:val="496C0725"/>
    <w:rsid w:val="498B5A38"/>
    <w:rsid w:val="49901EC0"/>
    <w:rsid w:val="499C12C5"/>
    <w:rsid w:val="49A0700B"/>
    <w:rsid w:val="49A17BDC"/>
    <w:rsid w:val="49AA71E7"/>
    <w:rsid w:val="49B06B1E"/>
    <w:rsid w:val="49C51095"/>
    <w:rsid w:val="49CD3F23"/>
    <w:rsid w:val="49FB423D"/>
    <w:rsid w:val="4A084BAC"/>
    <w:rsid w:val="4A1B28BA"/>
    <w:rsid w:val="4A36793C"/>
    <w:rsid w:val="4A5B700A"/>
    <w:rsid w:val="4A6D6AAB"/>
    <w:rsid w:val="4A7668AA"/>
    <w:rsid w:val="4A8E3680"/>
    <w:rsid w:val="4AA0365E"/>
    <w:rsid w:val="4AA8258C"/>
    <w:rsid w:val="4ABA06A9"/>
    <w:rsid w:val="4AD0259E"/>
    <w:rsid w:val="4AD66A58"/>
    <w:rsid w:val="4AE1490A"/>
    <w:rsid w:val="4AF45DC4"/>
    <w:rsid w:val="4AFD4615"/>
    <w:rsid w:val="4B1B7449"/>
    <w:rsid w:val="4B1E4B4A"/>
    <w:rsid w:val="4B26353C"/>
    <w:rsid w:val="4B39541F"/>
    <w:rsid w:val="4B5633BD"/>
    <w:rsid w:val="4B7C7600"/>
    <w:rsid w:val="4B973AEA"/>
    <w:rsid w:val="4BC74E87"/>
    <w:rsid w:val="4BD17C96"/>
    <w:rsid w:val="4BE551A5"/>
    <w:rsid w:val="4BE64A79"/>
    <w:rsid w:val="4BE9413D"/>
    <w:rsid w:val="4BF56DAC"/>
    <w:rsid w:val="4C0E2493"/>
    <w:rsid w:val="4C1A156A"/>
    <w:rsid w:val="4C1F06FA"/>
    <w:rsid w:val="4C215AB1"/>
    <w:rsid w:val="4C515F9F"/>
    <w:rsid w:val="4C5A6005"/>
    <w:rsid w:val="4C5B5467"/>
    <w:rsid w:val="4C711F79"/>
    <w:rsid w:val="4C980C50"/>
    <w:rsid w:val="4CBE2078"/>
    <w:rsid w:val="4CCF357B"/>
    <w:rsid w:val="4CDA6125"/>
    <w:rsid w:val="4CE7444F"/>
    <w:rsid w:val="4CEA0599"/>
    <w:rsid w:val="4CF85A25"/>
    <w:rsid w:val="4CFD3EE8"/>
    <w:rsid w:val="4D162733"/>
    <w:rsid w:val="4D1965D0"/>
    <w:rsid w:val="4D2E3F3F"/>
    <w:rsid w:val="4D383F40"/>
    <w:rsid w:val="4D3F6FBF"/>
    <w:rsid w:val="4D673114"/>
    <w:rsid w:val="4D706CF0"/>
    <w:rsid w:val="4D83739D"/>
    <w:rsid w:val="4D861A21"/>
    <w:rsid w:val="4D9A1FBF"/>
    <w:rsid w:val="4DA16ADE"/>
    <w:rsid w:val="4DB3336D"/>
    <w:rsid w:val="4DB45A88"/>
    <w:rsid w:val="4DBE6397"/>
    <w:rsid w:val="4DC302A1"/>
    <w:rsid w:val="4DD3727F"/>
    <w:rsid w:val="4DD827C4"/>
    <w:rsid w:val="4DE8619F"/>
    <w:rsid w:val="4DF51062"/>
    <w:rsid w:val="4E015F16"/>
    <w:rsid w:val="4E036E8C"/>
    <w:rsid w:val="4E096817"/>
    <w:rsid w:val="4E194024"/>
    <w:rsid w:val="4E202BB9"/>
    <w:rsid w:val="4E362286"/>
    <w:rsid w:val="4E3A32D0"/>
    <w:rsid w:val="4E437F61"/>
    <w:rsid w:val="4E4B2B03"/>
    <w:rsid w:val="4E4E3A88"/>
    <w:rsid w:val="4E555CA6"/>
    <w:rsid w:val="4E7F4257"/>
    <w:rsid w:val="4E860383"/>
    <w:rsid w:val="4E880069"/>
    <w:rsid w:val="4E8D5680"/>
    <w:rsid w:val="4EB47AF9"/>
    <w:rsid w:val="4EB600E0"/>
    <w:rsid w:val="4EBA3B62"/>
    <w:rsid w:val="4EBC78D4"/>
    <w:rsid w:val="4ECA68D4"/>
    <w:rsid w:val="4EDB7C89"/>
    <w:rsid w:val="4EDF5575"/>
    <w:rsid w:val="4EE82601"/>
    <w:rsid w:val="4EEA3906"/>
    <w:rsid w:val="4F007BC3"/>
    <w:rsid w:val="4F0A15BF"/>
    <w:rsid w:val="4F135B85"/>
    <w:rsid w:val="4F1638C7"/>
    <w:rsid w:val="4F1B67C9"/>
    <w:rsid w:val="4F20075B"/>
    <w:rsid w:val="4F4233B7"/>
    <w:rsid w:val="4F457D08"/>
    <w:rsid w:val="4F5C03C2"/>
    <w:rsid w:val="4F60418D"/>
    <w:rsid w:val="4F6C7D95"/>
    <w:rsid w:val="4F8944AF"/>
    <w:rsid w:val="4F970D1C"/>
    <w:rsid w:val="4F9A62A6"/>
    <w:rsid w:val="4FB02EF2"/>
    <w:rsid w:val="4FC34047"/>
    <w:rsid w:val="4FC92F74"/>
    <w:rsid w:val="4FD212C0"/>
    <w:rsid w:val="4FD76F97"/>
    <w:rsid w:val="4FDD00E1"/>
    <w:rsid w:val="4FE92D8A"/>
    <w:rsid w:val="4FED5F2A"/>
    <w:rsid w:val="4FEE65F2"/>
    <w:rsid w:val="50182CF3"/>
    <w:rsid w:val="50247B60"/>
    <w:rsid w:val="50380ABA"/>
    <w:rsid w:val="50484B47"/>
    <w:rsid w:val="50521A79"/>
    <w:rsid w:val="5059155E"/>
    <w:rsid w:val="50616DC4"/>
    <w:rsid w:val="50683D77"/>
    <w:rsid w:val="506B379F"/>
    <w:rsid w:val="506B7C43"/>
    <w:rsid w:val="50704A07"/>
    <w:rsid w:val="50722108"/>
    <w:rsid w:val="50980B6A"/>
    <w:rsid w:val="50A61150"/>
    <w:rsid w:val="50AE0278"/>
    <w:rsid w:val="50B163AF"/>
    <w:rsid w:val="50B85D0D"/>
    <w:rsid w:val="50CE26AB"/>
    <w:rsid w:val="50D2381E"/>
    <w:rsid w:val="51085E7F"/>
    <w:rsid w:val="510A0D9D"/>
    <w:rsid w:val="51254295"/>
    <w:rsid w:val="51280932"/>
    <w:rsid w:val="512914C1"/>
    <w:rsid w:val="51360251"/>
    <w:rsid w:val="513642E7"/>
    <w:rsid w:val="51380BCD"/>
    <w:rsid w:val="514606C6"/>
    <w:rsid w:val="514B1DEB"/>
    <w:rsid w:val="51524190"/>
    <w:rsid w:val="515D463D"/>
    <w:rsid w:val="515D758B"/>
    <w:rsid w:val="516052CE"/>
    <w:rsid w:val="51632D16"/>
    <w:rsid w:val="51724C3F"/>
    <w:rsid w:val="5186674D"/>
    <w:rsid w:val="518B03C1"/>
    <w:rsid w:val="518C7E71"/>
    <w:rsid w:val="51A60C76"/>
    <w:rsid w:val="51AB39CE"/>
    <w:rsid w:val="51C51AB5"/>
    <w:rsid w:val="51F966FC"/>
    <w:rsid w:val="51FA0C8B"/>
    <w:rsid w:val="52134095"/>
    <w:rsid w:val="522608AF"/>
    <w:rsid w:val="522B3570"/>
    <w:rsid w:val="5245701D"/>
    <w:rsid w:val="52466EEA"/>
    <w:rsid w:val="524D6516"/>
    <w:rsid w:val="524E2262"/>
    <w:rsid w:val="52545444"/>
    <w:rsid w:val="52720E14"/>
    <w:rsid w:val="52826DAC"/>
    <w:rsid w:val="529F1E45"/>
    <w:rsid w:val="52AD0E8E"/>
    <w:rsid w:val="52C25403"/>
    <w:rsid w:val="52C45947"/>
    <w:rsid w:val="52C8312A"/>
    <w:rsid w:val="52C9356C"/>
    <w:rsid w:val="52CE1F68"/>
    <w:rsid w:val="52D407EB"/>
    <w:rsid w:val="52D62BF7"/>
    <w:rsid w:val="52E1554F"/>
    <w:rsid w:val="52E511BE"/>
    <w:rsid w:val="52E573E7"/>
    <w:rsid w:val="52EE6FB6"/>
    <w:rsid w:val="52F07DFC"/>
    <w:rsid w:val="531254ED"/>
    <w:rsid w:val="53185E60"/>
    <w:rsid w:val="533407C0"/>
    <w:rsid w:val="533F163E"/>
    <w:rsid w:val="533F6DA3"/>
    <w:rsid w:val="53513120"/>
    <w:rsid w:val="53656BCB"/>
    <w:rsid w:val="537B1187"/>
    <w:rsid w:val="53930B93"/>
    <w:rsid w:val="53A0483E"/>
    <w:rsid w:val="53B0035C"/>
    <w:rsid w:val="53B86CFB"/>
    <w:rsid w:val="53C658BC"/>
    <w:rsid w:val="53D004E8"/>
    <w:rsid w:val="53D64112"/>
    <w:rsid w:val="53DC205C"/>
    <w:rsid w:val="53DC329D"/>
    <w:rsid w:val="53DF5E7C"/>
    <w:rsid w:val="53E930F7"/>
    <w:rsid w:val="54065D20"/>
    <w:rsid w:val="5415330F"/>
    <w:rsid w:val="541A6706"/>
    <w:rsid w:val="54211EFC"/>
    <w:rsid w:val="542B7CA6"/>
    <w:rsid w:val="543842E0"/>
    <w:rsid w:val="543C0BE9"/>
    <w:rsid w:val="543F566E"/>
    <w:rsid w:val="54440BD0"/>
    <w:rsid w:val="544640D3"/>
    <w:rsid w:val="545D3CF8"/>
    <w:rsid w:val="5462237E"/>
    <w:rsid w:val="546C6511"/>
    <w:rsid w:val="5477485C"/>
    <w:rsid w:val="547905AA"/>
    <w:rsid w:val="548825BE"/>
    <w:rsid w:val="54931516"/>
    <w:rsid w:val="54CF254E"/>
    <w:rsid w:val="54D44008"/>
    <w:rsid w:val="54E16A77"/>
    <w:rsid w:val="54FB4092"/>
    <w:rsid w:val="551B5307"/>
    <w:rsid w:val="55322ADD"/>
    <w:rsid w:val="553304D8"/>
    <w:rsid w:val="553700F3"/>
    <w:rsid w:val="55424374"/>
    <w:rsid w:val="555516BB"/>
    <w:rsid w:val="55571991"/>
    <w:rsid w:val="55616C37"/>
    <w:rsid w:val="55640394"/>
    <w:rsid w:val="55924DCB"/>
    <w:rsid w:val="55956F28"/>
    <w:rsid w:val="559A7000"/>
    <w:rsid w:val="55BB3BD0"/>
    <w:rsid w:val="55C23E61"/>
    <w:rsid w:val="55C94E39"/>
    <w:rsid w:val="55D65AE8"/>
    <w:rsid w:val="56004A8C"/>
    <w:rsid w:val="560378AC"/>
    <w:rsid w:val="5604752C"/>
    <w:rsid w:val="560662B2"/>
    <w:rsid w:val="561F7505"/>
    <w:rsid w:val="56241FDF"/>
    <w:rsid w:val="562654E2"/>
    <w:rsid w:val="563A3B68"/>
    <w:rsid w:val="563D7C13"/>
    <w:rsid w:val="563E5F58"/>
    <w:rsid w:val="565C59BC"/>
    <w:rsid w:val="56661B4F"/>
    <w:rsid w:val="56956E1A"/>
    <w:rsid w:val="56A10441"/>
    <w:rsid w:val="56BB1A3C"/>
    <w:rsid w:val="56E0560F"/>
    <w:rsid w:val="56E10D7D"/>
    <w:rsid w:val="56EF5668"/>
    <w:rsid w:val="56F711D3"/>
    <w:rsid w:val="570C0F09"/>
    <w:rsid w:val="571760EF"/>
    <w:rsid w:val="57284F8E"/>
    <w:rsid w:val="5729188C"/>
    <w:rsid w:val="573471D2"/>
    <w:rsid w:val="57365C7E"/>
    <w:rsid w:val="574127B6"/>
    <w:rsid w:val="57497BC3"/>
    <w:rsid w:val="5756729A"/>
    <w:rsid w:val="575F6B30"/>
    <w:rsid w:val="576202BF"/>
    <w:rsid w:val="57846852"/>
    <w:rsid w:val="57A85B5A"/>
    <w:rsid w:val="57B141AA"/>
    <w:rsid w:val="57B87882"/>
    <w:rsid w:val="57C049B1"/>
    <w:rsid w:val="57DD33CB"/>
    <w:rsid w:val="57ED4E4E"/>
    <w:rsid w:val="57FB1BE5"/>
    <w:rsid w:val="57FC7666"/>
    <w:rsid w:val="58014E0A"/>
    <w:rsid w:val="580E5A83"/>
    <w:rsid w:val="58121BBD"/>
    <w:rsid w:val="581D28B2"/>
    <w:rsid w:val="582278A6"/>
    <w:rsid w:val="583667C5"/>
    <w:rsid w:val="583A6878"/>
    <w:rsid w:val="5841015B"/>
    <w:rsid w:val="584645E3"/>
    <w:rsid w:val="585B2F03"/>
    <w:rsid w:val="586B71BC"/>
    <w:rsid w:val="58733B38"/>
    <w:rsid w:val="58794897"/>
    <w:rsid w:val="58841C85"/>
    <w:rsid w:val="588440C7"/>
    <w:rsid w:val="58906498"/>
    <w:rsid w:val="58987048"/>
    <w:rsid w:val="58A6364C"/>
    <w:rsid w:val="58A67A6A"/>
    <w:rsid w:val="58BF734E"/>
    <w:rsid w:val="58CC5BAC"/>
    <w:rsid w:val="58E453E6"/>
    <w:rsid w:val="5910752F"/>
    <w:rsid w:val="592106AE"/>
    <w:rsid w:val="592C090B"/>
    <w:rsid w:val="59301A29"/>
    <w:rsid w:val="59401C6C"/>
    <w:rsid w:val="59457F9D"/>
    <w:rsid w:val="594D4C89"/>
    <w:rsid w:val="59527BF2"/>
    <w:rsid w:val="59554FEC"/>
    <w:rsid w:val="59701E26"/>
    <w:rsid w:val="597317D1"/>
    <w:rsid w:val="598516EC"/>
    <w:rsid w:val="598A738C"/>
    <w:rsid w:val="59A5419F"/>
    <w:rsid w:val="59A61C20"/>
    <w:rsid w:val="59A85348"/>
    <w:rsid w:val="59B055ED"/>
    <w:rsid w:val="59B3425C"/>
    <w:rsid w:val="59B6573E"/>
    <w:rsid w:val="59C0604D"/>
    <w:rsid w:val="59C73975"/>
    <w:rsid w:val="59C90EDB"/>
    <w:rsid w:val="59CC1752"/>
    <w:rsid w:val="59CF475B"/>
    <w:rsid w:val="59DA0E48"/>
    <w:rsid w:val="59DC20FA"/>
    <w:rsid w:val="59E54F88"/>
    <w:rsid w:val="59E6628D"/>
    <w:rsid w:val="59ED369A"/>
    <w:rsid w:val="59F93C29"/>
    <w:rsid w:val="59F969E3"/>
    <w:rsid w:val="5A00764E"/>
    <w:rsid w:val="5A031FBA"/>
    <w:rsid w:val="5A0C4E48"/>
    <w:rsid w:val="5A2C317E"/>
    <w:rsid w:val="5A2F6381"/>
    <w:rsid w:val="5A356FA1"/>
    <w:rsid w:val="5A461C11"/>
    <w:rsid w:val="5A4D705A"/>
    <w:rsid w:val="5A4E4387"/>
    <w:rsid w:val="5A5B5812"/>
    <w:rsid w:val="5A6F4AC9"/>
    <w:rsid w:val="5A7E5C4F"/>
    <w:rsid w:val="5A81078E"/>
    <w:rsid w:val="5A8E79A0"/>
    <w:rsid w:val="5A96220A"/>
    <w:rsid w:val="5A964DAC"/>
    <w:rsid w:val="5A995D31"/>
    <w:rsid w:val="5AA02126"/>
    <w:rsid w:val="5AB521E6"/>
    <w:rsid w:val="5ABB5323"/>
    <w:rsid w:val="5AC323F8"/>
    <w:rsid w:val="5AFB2552"/>
    <w:rsid w:val="5B027490"/>
    <w:rsid w:val="5B0E1573"/>
    <w:rsid w:val="5B1A6899"/>
    <w:rsid w:val="5B1E422F"/>
    <w:rsid w:val="5B264E92"/>
    <w:rsid w:val="5B3D683F"/>
    <w:rsid w:val="5B5154DF"/>
    <w:rsid w:val="5B6661A9"/>
    <w:rsid w:val="5B6B0AF7"/>
    <w:rsid w:val="5B75441A"/>
    <w:rsid w:val="5B773066"/>
    <w:rsid w:val="5B7B6323"/>
    <w:rsid w:val="5B833730"/>
    <w:rsid w:val="5B857E0A"/>
    <w:rsid w:val="5B865931"/>
    <w:rsid w:val="5B991157"/>
    <w:rsid w:val="5B9F2D78"/>
    <w:rsid w:val="5BA147B5"/>
    <w:rsid w:val="5BA629EB"/>
    <w:rsid w:val="5BA67282"/>
    <w:rsid w:val="5BAA7871"/>
    <w:rsid w:val="5BDC060C"/>
    <w:rsid w:val="5BE45D53"/>
    <w:rsid w:val="5BFB1E7B"/>
    <w:rsid w:val="5C013FFE"/>
    <w:rsid w:val="5C156522"/>
    <w:rsid w:val="5C4D667C"/>
    <w:rsid w:val="5C68052A"/>
    <w:rsid w:val="5C6C36AD"/>
    <w:rsid w:val="5C6D112F"/>
    <w:rsid w:val="5C735EC7"/>
    <w:rsid w:val="5C904575"/>
    <w:rsid w:val="5C91188E"/>
    <w:rsid w:val="5C916A65"/>
    <w:rsid w:val="5CA86694"/>
    <w:rsid w:val="5CAB54B0"/>
    <w:rsid w:val="5CBD2B03"/>
    <w:rsid w:val="5CBE3035"/>
    <w:rsid w:val="5CC40525"/>
    <w:rsid w:val="5CFB721B"/>
    <w:rsid w:val="5D012DAA"/>
    <w:rsid w:val="5D1640AF"/>
    <w:rsid w:val="5D273DE0"/>
    <w:rsid w:val="5D38165A"/>
    <w:rsid w:val="5D3A4BD9"/>
    <w:rsid w:val="5D3D7C30"/>
    <w:rsid w:val="5D7330E8"/>
    <w:rsid w:val="5D926ACE"/>
    <w:rsid w:val="5D99089C"/>
    <w:rsid w:val="5D9B1B67"/>
    <w:rsid w:val="5D9B1BA1"/>
    <w:rsid w:val="5DA930B5"/>
    <w:rsid w:val="5DB2695F"/>
    <w:rsid w:val="5DBE13B2"/>
    <w:rsid w:val="5DC0137C"/>
    <w:rsid w:val="5DC310BE"/>
    <w:rsid w:val="5DF748C4"/>
    <w:rsid w:val="5DF76AAF"/>
    <w:rsid w:val="5E007C1C"/>
    <w:rsid w:val="5E0771FD"/>
    <w:rsid w:val="5E090AC7"/>
    <w:rsid w:val="5E220F75"/>
    <w:rsid w:val="5E230800"/>
    <w:rsid w:val="5E2C27BF"/>
    <w:rsid w:val="5E333019"/>
    <w:rsid w:val="5E370EEC"/>
    <w:rsid w:val="5E3866C8"/>
    <w:rsid w:val="5E5644D2"/>
    <w:rsid w:val="5E6B7D23"/>
    <w:rsid w:val="5E6C57A6"/>
    <w:rsid w:val="5E6E102A"/>
    <w:rsid w:val="5E71624F"/>
    <w:rsid w:val="5E717C83"/>
    <w:rsid w:val="5E751504"/>
    <w:rsid w:val="5E79378D"/>
    <w:rsid w:val="5E7D73A5"/>
    <w:rsid w:val="5EA04BD7"/>
    <w:rsid w:val="5EAE2404"/>
    <w:rsid w:val="5EC32DFB"/>
    <w:rsid w:val="5EC455DD"/>
    <w:rsid w:val="5ED1433D"/>
    <w:rsid w:val="5ED2769F"/>
    <w:rsid w:val="5EED5641"/>
    <w:rsid w:val="5EF16715"/>
    <w:rsid w:val="5F0B0AFE"/>
    <w:rsid w:val="5F125F0A"/>
    <w:rsid w:val="5F3B384B"/>
    <w:rsid w:val="5F3C12FF"/>
    <w:rsid w:val="5F3F2125"/>
    <w:rsid w:val="5F6B5097"/>
    <w:rsid w:val="5F7C7B38"/>
    <w:rsid w:val="5F7D4D16"/>
    <w:rsid w:val="5FA93E7F"/>
    <w:rsid w:val="5FAF380A"/>
    <w:rsid w:val="5FBE7704"/>
    <w:rsid w:val="5FCA1E36"/>
    <w:rsid w:val="5FD27B73"/>
    <w:rsid w:val="5FEC366F"/>
    <w:rsid w:val="60006A8C"/>
    <w:rsid w:val="6009519E"/>
    <w:rsid w:val="600A4521"/>
    <w:rsid w:val="60266CCC"/>
    <w:rsid w:val="603144C3"/>
    <w:rsid w:val="60624BBE"/>
    <w:rsid w:val="606D08D2"/>
    <w:rsid w:val="60705E47"/>
    <w:rsid w:val="607E2BDE"/>
    <w:rsid w:val="60866C2D"/>
    <w:rsid w:val="60DB486A"/>
    <w:rsid w:val="60EB5790"/>
    <w:rsid w:val="60F33C49"/>
    <w:rsid w:val="60F87FED"/>
    <w:rsid w:val="61044220"/>
    <w:rsid w:val="6105554A"/>
    <w:rsid w:val="610648A2"/>
    <w:rsid w:val="61306EDC"/>
    <w:rsid w:val="61406F72"/>
    <w:rsid w:val="61500F67"/>
    <w:rsid w:val="6170126D"/>
    <w:rsid w:val="617B36D1"/>
    <w:rsid w:val="61803A85"/>
    <w:rsid w:val="618F2A1B"/>
    <w:rsid w:val="61931421"/>
    <w:rsid w:val="619A4202"/>
    <w:rsid w:val="619A682E"/>
    <w:rsid w:val="61A77850"/>
    <w:rsid w:val="61AD1F23"/>
    <w:rsid w:val="61B52C5B"/>
    <w:rsid w:val="61BA4A46"/>
    <w:rsid w:val="61BF72C0"/>
    <w:rsid w:val="61C3168D"/>
    <w:rsid w:val="61E60EAB"/>
    <w:rsid w:val="61E6342A"/>
    <w:rsid w:val="620771B2"/>
    <w:rsid w:val="62080A1D"/>
    <w:rsid w:val="622D4D58"/>
    <w:rsid w:val="622E02E3"/>
    <w:rsid w:val="623B41B9"/>
    <w:rsid w:val="624E643B"/>
    <w:rsid w:val="625B2843"/>
    <w:rsid w:val="62712821"/>
    <w:rsid w:val="62730F7B"/>
    <w:rsid w:val="62953005"/>
    <w:rsid w:val="62A27631"/>
    <w:rsid w:val="62A27C60"/>
    <w:rsid w:val="62AF0FEF"/>
    <w:rsid w:val="62C17A7B"/>
    <w:rsid w:val="62CB49A1"/>
    <w:rsid w:val="62FC3469"/>
    <w:rsid w:val="630C4460"/>
    <w:rsid w:val="63141A74"/>
    <w:rsid w:val="631C34A7"/>
    <w:rsid w:val="632E6C44"/>
    <w:rsid w:val="633059CA"/>
    <w:rsid w:val="63523981"/>
    <w:rsid w:val="6364313A"/>
    <w:rsid w:val="636D1953"/>
    <w:rsid w:val="636F09B8"/>
    <w:rsid w:val="637970C3"/>
    <w:rsid w:val="637D3ABD"/>
    <w:rsid w:val="63916CE9"/>
    <w:rsid w:val="63B04B6E"/>
    <w:rsid w:val="63B86E2C"/>
    <w:rsid w:val="63BA5D30"/>
    <w:rsid w:val="63D979B2"/>
    <w:rsid w:val="63DF10FC"/>
    <w:rsid w:val="63F56A0D"/>
    <w:rsid w:val="63F773CC"/>
    <w:rsid w:val="63FD189B"/>
    <w:rsid w:val="6420020E"/>
    <w:rsid w:val="64246DFF"/>
    <w:rsid w:val="642A1AC8"/>
    <w:rsid w:val="642B10E5"/>
    <w:rsid w:val="64316114"/>
    <w:rsid w:val="644267A7"/>
    <w:rsid w:val="64526DA7"/>
    <w:rsid w:val="6454481E"/>
    <w:rsid w:val="645760BC"/>
    <w:rsid w:val="6458033D"/>
    <w:rsid w:val="64592EAE"/>
    <w:rsid w:val="64A81D2B"/>
    <w:rsid w:val="64C228DE"/>
    <w:rsid w:val="64C76D65"/>
    <w:rsid w:val="64D002AE"/>
    <w:rsid w:val="64D70A5F"/>
    <w:rsid w:val="64F00CFA"/>
    <w:rsid w:val="64FD143E"/>
    <w:rsid w:val="65053D6A"/>
    <w:rsid w:val="6513595F"/>
    <w:rsid w:val="65214639"/>
    <w:rsid w:val="65220637"/>
    <w:rsid w:val="65401C24"/>
    <w:rsid w:val="65562818"/>
    <w:rsid w:val="657038D9"/>
    <w:rsid w:val="659912BC"/>
    <w:rsid w:val="659B0C70"/>
    <w:rsid w:val="65B91B2F"/>
    <w:rsid w:val="65DA0D53"/>
    <w:rsid w:val="65DB0A87"/>
    <w:rsid w:val="65E46075"/>
    <w:rsid w:val="65E62B17"/>
    <w:rsid w:val="65EA5BC3"/>
    <w:rsid w:val="65F8567D"/>
    <w:rsid w:val="66063C56"/>
    <w:rsid w:val="66140709"/>
    <w:rsid w:val="661D24F4"/>
    <w:rsid w:val="661E7317"/>
    <w:rsid w:val="662B662D"/>
    <w:rsid w:val="66360241"/>
    <w:rsid w:val="666708AB"/>
    <w:rsid w:val="667747F4"/>
    <w:rsid w:val="66843EFF"/>
    <w:rsid w:val="668C53CC"/>
    <w:rsid w:val="66915D04"/>
    <w:rsid w:val="66994371"/>
    <w:rsid w:val="66A551F1"/>
    <w:rsid w:val="66A95111"/>
    <w:rsid w:val="66B50FD2"/>
    <w:rsid w:val="66B64012"/>
    <w:rsid w:val="66EB147E"/>
    <w:rsid w:val="66ED0F5A"/>
    <w:rsid w:val="67001AC3"/>
    <w:rsid w:val="670A3A9C"/>
    <w:rsid w:val="670B771D"/>
    <w:rsid w:val="671B4CC0"/>
    <w:rsid w:val="671F493B"/>
    <w:rsid w:val="67472502"/>
    <w:rsid w:val="67523E04"/>
    <w:rsid w:val="675A6D1E"/>
    <w:rsid w:val="676B6FB9"/>
    <w:rsid w:val="67891DEC"/>
    <w:rsid w:val="678F5EF4"/>
    <w:rsid w:val="67906760"/>
    <w:rsid w:val="679C0437"/>
    <w:rsid w:val="67AF422A"/>
    <w:rsid w:val="67C23573"/>
    <w:rsid w:val="67C831A4"/>
    <w:rsid w:val="67C8720F"/>
    <w:rsid w:val="67D07FE2"/>
    <w:rsid w:val="67D510FF"/>
    <w:rsid w:val="67E31201"/>
    <w:rsid w:val="67E759A9"/>
    <w:rsid w:val="67F65B74"/>
    <w:rsid w:val="67F66B9D"/>
    <w:rsid w:val="68014F2E"/>
    <w:rsid w:val="681F3395"/>
    <w:rsid w:val="68205AFC"/>
    <w:rsid w:val="68330D7C"/>
    <w:rsid w:val="6835132F"/>
    <w:rsid w:val="68351F05"/>
    <w:rsid w:val="68541712"/>
    <w:rsid w:val="686065CC"/>
    <w:rsid w:val="68860A0A"/>
    <w:rsid w:val="68953223"/>
    <w:rsid w:val="68B702B5"/>
    <w:rsid w:val="68CA7465"/>
    <w:rsid w:val="68F550AB"/>
    <w:rsid w:val="68FD3ECC"/>
    <w:rsid w:val="69064AB6"/>
    <w:rsid w:val="69083E29"/>
    <w:rsid w:val="691602F4"/>
    <w:rsid w:val="69187539"/>
    <w:rsid w:val="6922410C"/>
    <w:rsid w:val="69231B8D"/>
    <w:rsid w:val="692A4234"/>
    <w:rsid w:val="693904AE"/>
    <w:rsid w:val="694469E5"/>
    <w:rsid w:val="69584819"/>
    <w:rsid w:val="69605006"/>
    <w:rsid w:val="69840B6F"/>
    <w:rsid w:val="69852B2B"/>
    <w:rsid w:val="698D100B"/>
    <w:rsid w:val="69974C48"/>
    <w:rsid w:val="69A12B8F"/>
    <w:rsid w:val="69CE2026"/>
    <w:rsid w:val="69D07728"/>
    <w:rsid w:val="69D967D1"/>
    <w:rsid w:val="69E25443"/>
    <w:rsid w:val="6A000ADF"/>
    <w:rsid w:val="6A0E178B"/>
    <w:rsid w:val="6A1876FA"/>
    <w:rsid w:val="6A231730"/>
    <w:rsid w:val="6A2B6021"/>
    <w:rsid w:val="6A310775"/>
    <w:rsid w:val="6A3B5729"/>
    <w:rsid w:val="6A440E91"/>
    <w:rsid w:val="6A5527D2"/>
    <w:rsid w:val="6A596387"/>
    <w:rsid w:val="6A5A768C"/>
    <w:rsid w:val="6A6A42B6"/>
    <w:rsid w:val="6A7B241B"/>
    <w:rsid w:val="6A811ACA"/>
    <w:rsid w:val="6A883473"/>
    <w:rsid w:val="6A995680"/>
    <w:rsid w:val="6AAA5681"/>
    <w:rsid w:val="6ACF301A"/>
    <w:rsid w:val="6ADC0A6B"/>
    <w:rsid w:val="6AE1319A"/>
    <w:rsid w:val="6AED32D6"/>
    <w:rsid w:val="6AFA14FA"/>
    <w:rsid w:val="6B0718B5"/>
    <w:rsid w:val="6B0B1A2E"/>
    <w:rsid w:val="6B0C16AE"/>
    <w:rsid w:val="6B212E61"/>
    <w:rsid w:val="6B33736F"/>
    <w:rsid w:val="6B356FEF"/>
    <w:rsid w:val="6B37170B"/>
    <w:rsid w:val="6B3C7DBA"/>
    <w:rsid w:val="6B421B88"/>
    <w:rsid w:val="6B433442"/>
    <w:rsid w:val="6B4B53FD"/>
    <w:rsid w:val="6B635940"/>
    <w:rsid w:val="6B767361"/>
    <w:rsid w:val="6B847065"/>
    <w:rsid w:val="6BA06610"/>
    <w:rsid w:val="6BB32772"/>
    <w:rsid w:val="6BB655AF"/>
    <w:rsid w:val="6BB957B0"/>
    <w:rsid w:val="6BBF3FBF"/>
    <w:rsid w:val="6BCD5068"/>
    <w:rsid w:val="6BCD756D"/>
    <w:rsid w:val="6BD97AFD"/>
    <w:rsid w:val="6BDD3F84"/>
    <w:rsid w:val="6BEB40A9"/>
    <w:rsid w:val="6C021860"/>
    <w:rsid w:val="6C123FA9"/>
    <w:rsid w:val="6C3867D3"/>
    <w:rsid w:val="6C39327C"/>
    <w:rsid w:val="6C3E2AE1"/>
    <w:rsid w:val="6C435618"/>
    <w:rsid w:val="6C4F3C3C"/>
    <w:rsid w:val="6C517CEA"/>
    <w:rsid w:val="6C597B84"/>
    <w:rsid w:val="6C5D5657"/>
    <w:rsid w:val="6C68265A"/>
    <w:rsid w:val="6C6D0B73"/>
    <w:rsid w:val="6C7222AE"/>
    <w:rsid w:val="6C783074"/>
    <w:rsid w:val="6C832144"/>
    <w:rsid w:val="6C90182A"/>
    <w:rsid w:val="6CA963BE"/>
    <w:rsid w:val="6CC570A5"/>
    <w:rsid w:val="6CC70228"/>
    <w:rsid w:val="6CD935A2"/>
    <w:rsid w:val="6CEE5E4F"/>
    <w:rsid w:val="6CF7148A"/>
    <w:rsid w:val="6D117F87"/>
    <w:rsid w:val="6D1D0817"/>
    <w:rsid w:val="6D1E2ED5"/>
    <w:rsid w:val="6D2F00AE"/>
    <w:rsid w:val="6D4B2536"/>
    <w:rsid w:val="6D4D7584"/>
    <w:rsid w:val="6D627B71"/>
    <w:rsid w:val="6D6537A5"/>
    <w:rsid w:val="6D772E30"/>
    <w:rsid w:val="6D8057A7"/>
    <w:rsid w:val="6D8360D1"/>
    <w:rsid w:val="6D836174"/>
    <w:rsid w:val="6D9F41F8"/>
    <w:rsid w:val="6DA91761"/>
    <w:rsid w:val="6DB17A2E"/>
    <w:rsid w:val="6DB82591"/>
    <w:rsid w:val="6DC1541F"/>
    <w:rsid w:val="6DD32C57"/>
    <w:rsid w:val="6DE5298B"/>
    <w:rsid w:val="6DF026EB"/>
    <w:rsid w:val="6DF27794"/>
    <w:rsid w:val="6DFB42FF"/>
    <w:rsid w:val="6E004F03"/>
    <w:rsid w:val="6E0F64FE"/>
    <w:rsid w:val="6E196FF3"/>
    <w:rsid w:val="6E21673D"/>
    <w:rsid w:val="6E267DAB"/>
    <w:rsid w:val="6E284011"/>
    <w:rsid w:val="6E315BD0"/>
    <w:rsid w:val="6E32284B"/>
    <w:rsid w:val="6E337CDC"/>
    <w:rsid w:val="6E51148A"/>
    <w:rsid w:val="6E55366C"/>
    <w:rsid w:val="6E5B561D"/>
    <w:rsid w:val="6E601AA5"/>
    <w:rsid w:val="6E612755"/>
    <w:rsid w:val="6E6D3339"/>
    <w:rsid w:val="6E737441"/>
    <w:rsid w:val="6E82136D"/>
    <w:rsid w:val="6E881964"/>
    <w:rsid w:val="6E90735F"/>
    <w:rsid w:val="6EA44B97"/>
    <w:rsid w:val="6EA6036C"/>
    <w:rsid w:val="6EA765DB"/>
    <w:rsid w:val="6EA91C0A"/>
    <w:rsid w:val="6EB26D11"/>
    <w:rsid w:val="6EB579F9"/>
    <w:rsid w:val="6EB611AF"/>
    <w:rsid w:val="6EC8494C"/>
    <w:rsid w:val="6EC85F8E"/>
    <w:rsid w:val="6ECE6856"/>
    <w:rsid w:val="6ED34FB9"/>
    <w:rsid w:val="6EEC1804"/>
    <w:rsid w:val="6EF508D8"/>
    <w:rsid w:val="6EFD2C28"/>
    <w:rsid w:val="6F0230C8"/>
    <w:rsid w:val="6F026911"/>
    <w:rsid w:val="6F087ADA"/>
    <w:rsid w:val="6F096A3B"/>
    <w:rsid w:val="6F116045"/>
    <w:rsid w:val="6F2A6F6F"/>
    <w:rsid w:val="6F386628"/>
    <w:rsid w:val="6F3A279F"/>
    <w:rsid w:val="6F4E5EAA"/>
    <w:rsid w:val="6F6F1FE3"/>
    <w:rsid w:val="6F781FC5"/>
    <w:rsid w:val="6F873A86"/>
    <w:rsid w:val="6F8E6C94"/>
    <w:rsid w:val="6F90518A"/>
    <w:rsid w:val="6F91484E"/>
    <w:rsid w:val="6F9540A0"/>
    <w:rsid w:val="6F973996"/>
    <w:rsid w:val="6FBB0A5D"/>
    <w:rsid w:val="6FC04EE4"/>
    <w:rsid w:val="6FED6CAD"/>
    <w:rsid w:val="6FF07C32"/>
    <w:rsid w:val="6FF1788D"/>
    <w:rsid w:val="6FFE1AE2"/>
    <w:rsid w:val="700532A9"/>
    <w:rsid w:val="701B73AF"/>
    <w:rsid w:val="70266CAE"/>
    <w:rsid w:val="703674CE"/>
    <w:rsid w:val="703E0D95"/>
    <w:rsid w:val="70454E8C"/>
    <w:rsid w:val="70533B97"/>
    <w:rsid w:val="70576BAA"/>
    <w:rsid w:val="70637F71"/>
    <w:rsid w:val="70743B98"/>
    <w:rsid w:val="70866F8A"/>
    <w:rsid w:val="70D72EA9"/>
    <w:rsid w:val="70DA0EB4"/>
    <w:rsid w:val="70DE78BA"/>
    <w:rsid w:val="70EB6BD0"/>
    <w:rsid w:val="70FB4C6C"/>
    <w:rsid w:val="7104744D"/>
    <w:rsid w:val="711D243B"/>
    <w:rsid w:val="71263CB9"/>
    <w:rsid w:val="713B111A"/>
    <w:rsid w:val="714F6400"/>
    <w:rsid w:val="714F65DC"/>
    <w:rsid w:val="714F68F5"/>
    <w:rsid w:val="71511DF8"/>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D4FC5"/>
    <w:rsid w:val="71CE71C3"/>
    <w:rsid w:val="71CF4C44"/>
    <w:rsid w:val="71DC30DE"/>
    <w:rsid w:val="71DE7E1D"/>
    <w:rsid w:val="71E52F59"/>
    <w:rsid w:val="72026CF0"/>
    <w:rsid w:val="72181581"/>
    <w:rsid w:val="7220357F"/>
    <w:rsid w:val="722078C9"/>
    <w:rsid w:val="72307267"/>
    <w:rsid w:val="72314556"/>
    <w:rsid w:val="7248490E"/>
    <w:rsid w:val="725B76BF"/>
    <w:rsid w:val="729130E1"/>
    <w:rsid w:val="72997B90"/>
    <w:rsid w:val="72A262A2"/>
    <w:rsid w:val="72AA090C"/>
    <w:rsid w:val="72B164B1"/>
    <w:rsid w:val="72B56DCF"/>
    <w:rsid w:val="72BB13CA"/>
    <w:rsid w:val="72D43F44"/>
    <w:rsid w:val="72D75477"/>
    <w:rsid w:val="72DC7380"/>
    <w:rsid w:val="72F96CB0"/>
    <w:rsid w:val="730B464C"/>
    <w:rsid w:val="730B69EF"/>
    <w:rsid w:val="730C7ECF"/>
    <w:rsid w:val="73150AD9"/>
    <w:rsid w:val="73163983"/>
    <w:rsid w:val="7325594C"/>
    <w:rsid w:val="732D105C"/>
    <w:rsid w:val="73375A36"/>
    <w:rsid w:val="73601B58"/>
    <w:rsid w:val="73655FDF"/>
    <w:rsid w:val="73762935"/>
    <w:rsid w:val="739764D5"/>
    <w:rsid w:val="7398640D"/>
    <w:rsid w:val="739E1612"/>
    <w:rsid w:val="73A41347"/>
    <w:rsid w:val="73AA3251"/>
    <w:rsid w:val="73B02BDC"/>
    <w:rsid w:val="73B41D9C"/>
    <w:rsid w:val="73C64398"/>
    <w:rsid w:val="73CA1A40"/>
    <w:rsid w:val="73CD35DF"/>
    <w:rsid w:val="73D26CC6"/>
    <w:rsid w:val="73DE2A18"/>
    <w:rsid w:val="73E9403A"/>
    <w:rsid w:val="73F456D6"/>
    <w:rsid w:val="741E35A0"/>
    <w:rsid w:val="74285B90"/>
    <w:rsid w:val="742C2C2D"/>
    <w:rsid w:val="743432D6"/>
    <w:rsid w:val="743E0056"/>
    <w:rsid w:val="744D04DB"/>
    <w:rsid w:val="744D4796"/>
    <w:rsid w:val="74516EE2"/>
    <w:rsid w:val="7457037A"/>
    <w:rsid w:val="7461749A"/>
    <w:rsid w:val="7463285B"/>
    <w:rsid w:val="746C1582"/>
    <w:rsid w:val="748527D2"/>
    <w:rsid w:val="74936A51"/>
    <w:rsid w:val="749E626A"/>
    <w:rsid w:val="74B82BA7"/>
    <w:rsid w:val="74C87E25"/>
    <w:rsid w:val="74CC6652"/>
    <w:rsid w:val="74F01713"/>
    <w:rsid w:val="74F76776"/>
    <w:rsid w:val="74FD3B6F"/>
    <w:rsid w:val="750B72C2"/>
    <w:rsid w:val="75185176"/>
    <w:rsid w:val="75225E23"/>
    <w:rsid w:val="75263FB5"/>
    <w:rsid w:val="75394C61"/>
    <w:rsid w:val="75465AB3"/>
    <w:rsid w:val="754E563E"/>
    <w:rsid w:val="757A34CC"/>
    <w:rsid w:val="758614DD"/>
    <w:rsid w:val="759871F9"/>
    <w:rsid w:val="759F3CEA"/>
    <w:rsid w:val="75A367D3"/>
    <w:rsid w:val="75A629FF"/>
    <w:rsid w:val="75BA77D6"/>
    <w:rsid w:val="75BB2F61"/>
    <w:rsid w:val="75E22227"/>
    <w:rsid w:val="75F37912"/>
    <w:rsid w:val="75F95F98"/>
    <w:rsid w:val="76164725"/>
    <w:rsid w:val="761821A5"/>
    <w:rsid w:val="76190ABD"/>
    <w:rsid w:val="76210E5A"/>
    <w:rsid w:val="76280C11"/>
    <w:rsid w:val="762F6473"/>
    <w:rsid w:val="763C5A77"/>
    <w:rsid w:val="76450616"/>
    <w:rsid w:val="76587637"/>
    <w:rsid w:val="76637BC6"/>
    <w:rsid w:val="7677439C"/>
    <w:rsid w:val="767825EE"/>
    <w:rsid w:val="767D7C04"/>
    <w:rsid w:val="768F1EE1"/>
    <w:rsid w:val="769164A0"/>
    <w:rsid w:val="76AA3BBE"/>
    <w:rsid w:val="76B36A39"/>
    <w:rsid w:val="76B92B53"/>
    <w:rsid w:val="76C30454"/>
    <w:rsid w:val="76CB0718"/>
    <w:rsid w:val="76D13DEC"/>
    <w:rsid w:val="7706409E"/>
    <w:rsid w:val="771334B6"/>
    <w:rsid w:val="772A1B8E"/>
    <w:rsid w:val="772A798F"/>
    <w:rsid w:val="7731279D"/>
    <w:rsid w:val="77492442"/>
    <w:rsid w:val="7751784F"/>
    <w:rsid w:val="77532D52"/>
    <w:rsid w:val="776E0CF0"/>
    <w:rsid w:val="77707769"/>
    <w:rsid w:val="77727D83"/>
    <w:rsid w:val="77792F92"/>
    <w:rsid w:val="777C5FCF"/>
    <w:rsid w:val="778D031B"/>
    <w:rsid w:val="77903967"/>
    <w:rsid w:val="77C33470"/>
    <w:rsid w:val="77D445A5"/>
    <w:rsid w:val="77D870BC"/>
    <w:rsid w:val="77DA6802"/>
    <w:rsid w:val="77EE09D2"/>
    <w:rsid w:val="77F73860"/>
    <w:rsid w:val="77F86BCB"/>
    <w:rsid w:val="77F959B0"/>
    <w:rsid w:val="7808174F"/>
    <w:rsid w:val="78141A18"/>
    <w:rsid w:val="782C2A35"/>
    <w:rsid w:val="78527978"/>
    <w:rsid w:val="785C1A9B"/>
    <w:rsid w:val="786C5A1D"/>
    <w:rsid w:val="787D3C56"/>
    <w:rsid w:val="7888534D"/>
    <w:rsid w:val="78A3591C"/>
    <w:rsid w:val="78B33C13"/>
    <w:rsid w:val="78B905F3"/>
    <w:rsid w:val="78B93018"/>
    <w:rsid w:val="78BA0DB9"/>
    <w:rsid w:val="78C706B5"/>
    <w:rsid w:val="78E34762"/>
    <w:rsid w:val="78EA52F9"/>
    <w:rsid w:val="78EF0B61"/>
    <w:rsid w:val="78F148D9"/>
    <w:rsid w:val="78FF0DA4"/>
    <w:rsid w:val="790A49DD"/>
    <w:rsid w:val="790B5EDC"/>
    <w:rsid w:val="793876EF"/>
    <w:rsid w:val="793918EE"/>
    <w:rsid w:val="793D18CD"/>
    <w:rsid w:val="79405463"/>
    <w:rsid w:val="7942728A"/>
    <w:rsid w:val="795723C3"/>
    <w:rsid w:val="79642735"/>
    <w:rsid w:val="79AD76AE"/>
    <w:rsid w:val="79AF3739"/>
    <w:rsid w:val="79B370AD"/>
    <w:rsid w:val="79D00993"/>
    <w:rsid w:val="79D54511"/>
    <w:rsid w:val="79E41D86"/>
    <w:rsid w:val="79EF399B"/>
    <w:rsid w:val="79FE105C"/>
    <w:rsid w:val="7A0149B0"/>
    <w:rsid w:val="7A1E34AC"/>
    <w:rsid w:val="7A20416A"/>
    <w:rsid w:val="7A653295"/>
    <w:rsid w:val="7A6A54E3"/>
    <w:rsid w:val="7A772BBC"/>
    <w:rsid w:val="7A7A357F"/>
    <w:rsid w:val="7A9D2951"/>
    <w:rsid w:val="7A9E0310"/>
    <w:rsid w:val="7AAE1CA3"/>
    <w:rsid w:val="7AB411C2"/>
    <w:rsid w:val="7AC22512"/>
    <w:rsid w:val="7AC426F9"/>
    <w:rsid w:val="7AC62985"/>
    <w:rsid w:val="7AC758F2"/>
    <w:rsid w:val="7ADC1122"/>
    <w:rsid w:val="7ADF1481"/>
    <w:rsid w:val="7AE244DA"/>
    <w:rsid w:val="7B007056"/>
    <w:rsid w:val="7B0C08EF"/>
    <w:rsid w:val="7B116F75"/>
    <w:rsid w:val="7B1563EB"/>
    <w:rsid w:val="7B1D660B"/>
    <w:rsid w:val="7B2D7082"/>
    <w:rsid w:val="7B5E2627"/>
    <w:rsid w:val="7B6E1C39"/>
    <w:rsid w:val="7B6F4C09"/>
    <w:rsid w:val="7B823FE2"/>
    <w:rsid w:val="7B861193"/>
    <w:rsid w:val="7B9939D6"/>
    <w:rsid w:val="7BA41D67"/>
    <w:rsid w:val="7BAD120F"/>
    <w:rsid w:val="7BB7737D"/>
    <w:rsid w:val="7BB92417"/>
    <w:rsid w:val="7BED7BDD"/>
    <w:rsid w:val="7BEE3984"/>
    <w:rsid w:val="7BFE117C"/>
    <w:rsid w:val="7C19668C"/>
    <w:rsid w:val="7C367925"/>
    <w:rsid w:val="7C374CF9"/>
    <w:rsid w:val="7C4902F7"/>
    <w:rsid w:val="7C594C70"/>
    <w:rsid w:val="7C6B3426"/>
    <w:rsid w:val="7C7C3FC9"/>
    <w:rsid w:val="7C7E6484"/>
    <w:rsid w:val="7C9032AE"/>
    <w:rsid w:val="7C9C3669"/>
    <w:rsid w:val="7CE15122"/>
    <w:rsid w:val="7CE7227B"/>
    <w:rsid w:val="7CF77FE5"/>
    <w:rsid w:val="7CFB6BAC"/>
    <w:rsid w:val="7D132363"/>
    <w:rsid w:val="7D1A12A4"/>
    <w:rsid w:val="7D38050F"/>
    <w:rsid w:val="7D391DFD"/>
    <w:rsid w:val="7D4071CA"/>
    <w:rsid w:val="7D603342"/>
    <w:rsid w:val="7D756F1F"/>
    <w:rsid w:val="7D875780"/>
    <w:rsid w:val="7D8F5794"/>
    <w:rsid w:val="7DA35C21"/>
    <w:rsid w:val="7DBE36DC"/>
    <w:rsid w:val="7DC50AE8"/>
    <w:rsid w:val="7DF06F0E"/>
    <w:rsid w:val="7E0405CD"/>
    <w:rsid w:val="7E140867"/>
    <w:rsid w:val="7E22407F"/>
    <w:rsid w:val="7E307B8D"/>
    <w:rsid w:val="7E3F1C43"/>
    <w:rsid w:val="7E490D14"/>
    <w:rsid w:val="7E4B7B7D"/>
    <w:rsid w:val="7E544334"/>
    <w:rsid w:val="7E741B85"/>
    <w:rsid w:val="7E7A4D36"/>
    <w:rsid w:val="7E856124"/>
    <w:rsid w:val="7E9A1DC5"/>
    <w:rsid w:val="7E9B57CD"/>
    <w:rsid w:val="7EA1710A"/>
    <w:rsid w:val="7EA32343"/>
    <w:rsid w:val="7EB81375"/>
    <w:rsid w:val="7EBA6DD6"/>
    <w:rsid w:val="7ED1449D"/>
    <w:rsid w:val="7EE54599"/>
    <w:rsid w:val="7EF173E1"/>
    <w:rsid w:val="7F04016F"/>
    <w:rsid w:val="7F142ECB"/>
    <w:rsid w:val="7F1A038D"/>
    <w:rsid w:val="7F3E5CFA"/>
    <w:rsid w:val="7F4A6F63"/>
    <w:rsid w:val="7F51026F"/>
    <w:rsid w:val="7F5E5203"/>
    <w:rsid w:val="7F63180E"/>
    <w:rsid w:val="7F64728F"/>
    <w:rsid w:val="7F713C2F"/>
    <w:rsid w:val="7F741DC0"/>
    <w:rsid w:val="7F743CA6"/>
    <w:rsid w:val="7F80553B"/>
    <w:rsid w:val="7F867444"/>
    <w:rsid w:val="7FAB5EC3"/>
    <w:rsid w:val="7FB23114"/>
    <w:rsid w:val="7FB36445"/>
    <w:rsid w:val="7FBB5720"/>
    <w:rsid w:val="7FC20D7E"/>
    <w:rsid w:val="7FDF6B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45"/>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qFormat/>
    <w:uiPriority w:val="0"/>
    <w:rPr>
      <w:rFonts w:ascii="Arial" w:hAnsi="Arial"/>
      <w:bCs/>
      <w:sz w:val="24"/>
    </w:rPr>
  </w:style>
  <w:style w:type="paragraph" w:styleId="10">
    <w:name w:val="Body Text Indent"/>
    <w:basedOn w:val="1"/>
    <w:next w:val="4"/>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pPr>
      <w:ind w:left="100" w:leftChars="2500"/>
    </w:pPr>
    <w:rPr>
      <w:color w:val="000000"/>
      <w:sz w:val="24"/>
    </w:rPr>
  </w:style>
  <w:style w:type="paragraph" w:styleId="14">
    <w:name w:val="Body Text Indent 2"/>
    <w:basedOn w:val="1"/>
    <w:qFormat/>
    <w:uiPriority w:val="0"/>
    <w:pPr>
      <w:widowControl/>
      <w:spacing w:line="480" w:lineRule="atLeast"/>
      <w:ind w:firstLine="480"/>
    </w:pPr>
    <w:rPr>
      <w:rFonts w:ascii="宋体"/>
      <w:kern w:val="0"/>
      <w:sz w:val="24"/>
      <w:szCs w:val="20"/>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Cs w:val="20"/>
    </w:rPr>
  </w:style>
  <w:style w:type="paragraph" w:styleId="19">
    <w:name w:val="toc 6"/>
    <w:basedOn w:val="1"/>
    <w:next w:val="1"/>
    <w:qFormat/>
    <w:uiPriority w:val="0"/>
    <w:pPr>
      <w:ind w:left="1400"/>
    </w:pPr>
    <w:rPr>
      <w:rFonts w:ascii="Calibri"/>
      <w:sz w:val="18"/>
      <w:szCs w:val="18"/>
    </w:rPr>
  </w:style>
  <w:style w:type="paragraph" w:styleId="2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1">
    <w:name w:val="toc 2"/>
    <w:basedOn w:val="1"/>
    <w:next w:val="1"/>
    <w:qFormat/>
    <w:uiPriority w:val="0"/>
    <w:pPr>
      <w:ind w:left="420" w:leftChars="200"/>
    </w:pPr>
    <w:rPr>
      <w:szCs w:val="20"/>
    </w:rPr>
  </w:style>
  <w:style w:type="paragraph" w:styleId="22">
    <w:name w:val="Body Text 2"/>
    <w:basedOn w:val="1"/>
    <w:next w:val="9"/>
    <w:qFormat/>
    <w:uiPriority w:val="0"/>
  </w:style>
  <w:style w:type="paragraph" w:styleId="2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5">
    <w:name w:val="Body Text First Indent"/>
    <w:basedOn w:val="9"/>
    <w:next w:val="19"/>
    <w:link w:val="46"/>
    <w:unhideWhenUsed/>
    <w:qFormat/>
    <w:uiPriority w:val="0"/>
    <w:pPr>
      <w:spacing w:after="120"/>
      <w:ind w:firstLine="420" w:firstLineChars="100"/>
    </w:pPr>
    <w:rPr>
      <w:rFonts w:ascii="Calibri" w:hAnsi="Calibri"/>
      <w:sz w:val="21"/>
      <w:szCs w:val="22"/>
    </w:rPr>
  </w:style>
  <w:style w:type="paragraph" w:styleId="26">
    <w:name w:val="Body Text First Indent 2"/>
    <w:next w:val="1"/>
    <w:qFormat/>
    <w:uiPriority w:val="0"/>
    <w:pPr>
      <w:widowControl w:val="0"/>
      <w:spacing w:after="120" w:line="240" w:lineRule="auto"/>
      <w:ind w:left="420" w:leftChars="200" w:firstLine="420"/>
      <w:jc w:val="both"/>
    </w:pPr>
    <w:rPr>
      <w:rFonts w:ascii="Times New Roman" w:hAnsi="Times New Roman" w:eastAsia="宋体" w:cs="宋体"/>
      <w:kern w:val="2"/>
      <w:sz w:val="21"/>
      <w:szCs w:val="21"/>
      <w:lang w:val="en-US" w:eastAsia="zh-CN" w:bidi="ar-SA"/>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4A4A4A"/>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0000FF"/>
      <w:u w:val="singl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paragraph" w:customStyle="1" w:styleId="44">
    <w:name w:val="Default"/>
    <w:basedOn w:val="1"/>
    <w:next w:val="1"/>
    <w:qFormat/>
    <w:uiPriority w:val="0"/>
    <w:pPr>
      <w:autoSpaceDE w:val="0"/>
      <w:autoSpaceDN w:val="0"/>
      <w:adjustRightInd w:val="0"/>
      <w:jc w:val="left"/>
    </w:pPr>
    <w:rPr>
      <w:rFonts w:ascii="宋体" w:hAnsi="宋体" w:cs="宋体"/>
      <w:color w:val="000000"/>
      <w:kern w:val="0"/>
      <w:sz w:val="24"/>
      <w:szCs w:val="24"/>
    </w:rPr>
  </w:style>
  <w:style w:type="character" w:customStyle="1" w:styleId="45">
    <w:name w:val="正文缩进 Char"/>
    <w:link w:val="4"/>
    <w:qFormat/>
    <w:uiPriority w:val="0"/>
    <w:rPr>
      <w:kern w:val="2"/>
      <w:sz w:val="21"/>
      <w:szCs w:val="24"/>
    </w:rPr>
  </w:style>
  <w:style w:type="character" w:customStyle="1" w:styleId="46">
    <w:name w:val="正文首行缩进 Char"/>
    <w:link w:val="25"/>
    <w:qFormat/>
    <w:uiPriority w:val="0"/>
    <w:rPr>
      <w:rFonts w:ascii="Calibri" w:hAnsi="Calibri"/>
      <w:bCs/>
      <w:kern w:val="2"/>
      <w:sz w:val="21"/>
      <w:szCs w:val="22"/>
    </w:rPr>
  </w:style>
  <w:style w:type="character" w:customStyle="1" w:styleId="47">
    <w:name w:val="批注框文本 Char"/>
    <w:link w:val="15"/>
    <w:qFormat/>
    <w:uiPriority w:val="0"/>
    <w:rPr>
      <w:kern w:val="2"/>
      <w:sz w:val="18"/>
      <w:szCs w:val="18"/>
    </w:rPr>
  </w:style>
  <w:style w:type="paragraph" w:customStyle="1" w:styleId="48">
    <w:name w:val="表格文字"/>
    <w:basedOn w:val="12"/>
    <w:next w:val="9"/>
    <w:qFormat/>
    <w:uiPriority w:val="0"/>
    <w:pPr>
      <w:adjustRightInd w:val="0"/>
      <w:spacing w:line="420" w:lineRule="atLeast"/>
      <w:jc w:val="left"/>
      <w:textAlignment w:val="baseline"/>
    </w:pPr>
    <w:rPr>
      <w:rFonts w:ascii="Times New Roman" w:hAnsi="Times New Roman"/>
      <w:kern w:val="0"/>
      <w:szCs w:val="24"/>
    </w:rPr>
  </w:style>
  <w:style w:type="character" w:customStyle="1" w:styleId="49">
    <w:name w:val="font41"/>
    <w:qFormat/>
    <w:uiPriority w:val="0"/>
    <w:rPr>
      <w:rFonts w:hint="eastAsia" w:ascii="宋体" w:hAnsi="宋体" w:eastAsia="宋体" w:cs="宋体"/>
      <w:color w:val="000000"/>
      <w:sz w:val="22"/>
      <w:szCs w:val="22"/>
      <w:u w:val="none"/>
    </w:rPr>
  </w:style>
  <w:style w:type="character" w:customStyle="1" w:styleId="50">
    <w:name w:val="font11"/>
    <w:qFormat/>
    <w:uiPriority w:val="0"/>
    <w:rPr>
      <w:rFonts w:ascii="Calibri" w:hAnsi="Calibri" w:cs="Calibri"/>
      <w:color w:val="000000"/>
      <w:sz w:val="21"/>
      <w:szCs w:val="21"/>
      <w:u w:val="none"/>
    </w:rPr>
  </w:style>
  <w:style w:type="character" w:customStyle="1" w:styleId="51">
    <w:name w:val="font01"/>
    <w:qFormat/>
    <w:uiPriority w:val="0"/>
    <w:rPr>
      <w:rFonts w:hint="eastAsia" w:ascii="宋体" w:hAnsi="宋体" w:eastAsia="宋体" w:cs="宋体"/>
      <w:color w:val="000000"/>
      <w:sz w:val="21"/>
      <w:szCs w:val="21"/>
      <w:u w:val="none"/>
    </w:rPr>
  </w:style>
  <w:style w:type="character" w:customStyle="1" w:styleId="52">
    <w:name w:val="font21"/>
    <w:qFormat/>
    <w:uiPriority w:val="0"/>
    <w:rPr>
      <w:rFonts w:ascii="Calibri" w:hAnsi="Calibri" w:cs="Calibri"/>
      <w:color w:val="000000"/>
      <w:sz w:val="22"/>
      <w:szCs w:val="22"/>
      <w:u w:val="none"/>
    </w:rPr>
  </w:style>
  <w:style w:type="paragraph" w:customStyle="1" w:styleId="53">
    <w:name w:val="BodyTextIndent"/>
    <w:basedOn w:val="1"/>
    <w:qFormat/>
    <w:uiPriority w:val="0"/>
    <w:pPr>
      <w:spacing w:after="120"/>
      <w:ind w:left="420" w:leftChars="200"/>
      <w:textAlignment w:val="baseline"/>
    </w:pPr>
    <w:rPr>
      <w:color w:val="000000"/>
    </w:rPr>
  </w:style>
  <w:style w:type="paragraph" w:styleId="54">
    <w:name w:val="List Paragraph"/>
    <w:basedOn w:val="1"/>
    <w:qFormat/>
    <w:uiPriority w:val="0"/>
    <w:pPr>
      <w:ind w:firstLine="420" w:firstLineChars="200"/>
    </w:pPr>
    <w:rPr>
      <w:rFonts w:ascii="Calibri" w:hAnsi="Calibri"/>
      <w:szCs w:val="22"/>
    </w:rPr>
  </w:style>
  <w:style w:type="paragraph" w:customStyle="1" w:styleId="5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6">
    <w:name w:val="Table Paragraph"/>
    <w:basedOn w:val="1"/>
    <w:qFormat/>
    <w:uiPriority w:val="1"/>
    <w:rPr>
      <w:rFonts w:ascii="宋体" w:hAnsi="宋体" w:cs="宋体"/>
      <w:lang w:val="zh-CN" w:bidi="zh-CN"/>
    </w:rPr>
  </w:style>
  <w:style w:type="paragraph" w:customStyle="1" w:styleId="57">
    <w:name w:val="纯文本1"/>
    <w:qFormat/>
    <w:uiPriority w:val="0"/>
    <w:rPr>
      <w:rFonts w:hint="eastAsia" w:ascii="宋体" w:hAnsi="Courier New" w:eastAsia="宋体" w:cs="Times New Roman"/>
      <w:kern w:val="2"/>
      <w:sz w:val="21"/>
      <w:lang w:val="en-US" w:eastAsia="zh-CN" w:bidi="ar-SA"/>
    </w:rPr>
  </w:style>
  <w:style w:type="paragraph" w:customStyle="1" w:styleId="58">
    <w:name w:val="zw1"/>
    <w:basedOn w:val="1"/>
    <w:qFormat/>
    <w:uiPriority w:val="0"/>
    <w:pPr>
      <w:spacing w:line="360" w:lineRule="auto"/>
      <w:ind w:firstLine="560" w:firstLineChars="200"/>
    </w:pPr>
    <w:rPr>
      <w:sz w:val="28"/>
      <w:szCs w:val="20"/>
    </w:rPr>
  </w:style>
  <w:style w:type="paragraph" w:customStyle="1" w:styleId="5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0">
    <w:name w:val="正文缩进2"/>
    <w:basedOn w:val="1"/>
    <w:next w:val="1"/>
    <w:qFormat/>
    <w:uiPriority w:val="0"/>
    <w:pPr>
      <w:spacing w:line="500" w:lineRule="exact"/>
      <w:ind w:firstLine="567"/>
    </w:pPr>
    <w:rPr>
      <w:sz w:val="24"/>
      <w:szCs w:val="20"/>
    </w:rPr>
  </w:style>
  <w:style w:type="paragraph" w:customStyle="1" w:styleId="61">
    <w:name w:val="BodyText1I2"/>
    <w:basedOn w:val="53"/>
    <w:qFormat/>
    <w:uiPriority w:val="0"/>
    <w:pPr>
      <w:ind w:firstLine="420" w:firstLineChars="200"/>
    </w:pPr>
  </w:style>
  <w:style w:type="paragraph" w:customStyle="1" w:styleId="62">
    <w:name w:val="正文首行缩进 21"/>
    <w:basedOn w:val="1"/>
    <w:qFormat/>
    <w:uiPriority w:val="0"/>
    <w:pPr>
      <w:spacing w:after="120"/>
      <w:ind w:left="420" w:leftChars="200" w:firstLine="420"/>
    </w:pPr>
    <w:rPr>
      <w:rFonts w:cs="宋体"/>
      <w:color w:val="000000"/>
      <w:sz w:val="21"/>
      <w:szCs w:val="21"/>
    </w:rPr>
  </w:style>
  <w:style w:type="paragraph" w:customStyle="1" w:styleId="63">
    <w:name w:val="列出段落1"/>
    <w:basedOn w:val="1"/>
    <w:qFormat/>
    <w:uiPriority w:val="0"/>
    <w:pPr>
      <w:ind w:firstLine="420" w:firstLineChars="200"/>
    </w:pPr>
    <w:rPr>
      <w:rFonts w:cs="Arial"/>
    </w:rPr>
  </w:style>
  <w:style w:type="paragraph" w:customStyle="1" w:styleId="64">
    <w:name w:val="表内文字"/>
    <w:basedOn w:val="1"/>
    <w:qFormat/>
    <w:uiPriority w:val="0"/>
    <w:pPr>
      <w:spacing w:line="500" w:lineRule="atLeast"/>
      <w:jc w:val="center"/>
    </w:pPr>
    <w:rPr>
      <w:rFonts w:ascii="Arial" w:hAnsi="Arial" w:eastAsia="楷体_GB2312" w:cs="Arial"/>
      <w:sz w:val="28"/>
    </w:rPr>
  </w:style>
  <w:style w:type="paragraph" w:customStyle="1" w:styleId="6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25"/>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34263</Words>
  <Characters>36515</Characters>
  <Lines>593</Lines>
  <Paragraphs>167</Paragraphs>
  <TotalTime>0</TotalTime>
  <ScaleCrop>false</ScaleCrop>
  <LinksUpToDate>false</LinksUpToDate>
  <CharactersWithSpaces>39571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Lic</cp:lastModifiedBy>
  <cp:lastPrinted>2025-08-19T05:21:00Z</cp:lastPrinted>
  <dcterms:modified xsi:type="dcterms:W3CDTF">2025-09-02T08:31:37Z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F3A08E68597D48EBAD38678943548CAE_13</vt:lpwstr>
  </property>
</Properties>
</file>