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项目名称：平阳县宋埠站位水质提升与水质稳定</w:t>
            </w:r>
            <w:r>
              <w:rPr>
                <w:rFonts w:hint="eastAsia" w:ascii="宋体" w:hAnsi="宋体" w:cs="宋体"/>
                <w:b/>
                <w:sz w:val="30"/>
                <w:szCs w:val="30"/>
                <w:lang w:eastAsia="zh-CN"/>
              </w:rPr>
              <w:t>项目采购</w:t>
            </w:r>
          </w:p>
          <w:p>
            <w:pPr>
              <w:wordWrap w:val="0"/>
              <w:rPr>
                <w:rFonts w:ascii="宋体" w:hAnsi="宋体" w:cs="宋体"/>
                <w:b/>
                <w:sz w:val="30"/>
                <w:szCs w:val="30"/>
              </w:rPr>
            </w:pPr>
            <w:r>
              <w:rPr>
                <w:rFonts w:hint="eastAsia" w:ascii="宋体" w:hAnsi="宋体" w:cs="宋体"/>
                <w:b/>
                <w:sz w:val="30"/>
                <w:szCs w:val="30"/>
              </w:rPr>
              <w:t xml:space="preserve">              招标编号：</w:t>
            </w:r>
            <w:r>
              <w:rPr>
                <w:rFonts w:hint="eastAsia" w:ascii="宋体" w:hAnsi="宋体"/>
                <w:b/>
                <w:sz w:val="30"/>
                <w:szCs w:val="30"/>
                <w:lang w:eastAsia="zh-CN"/>
              </w:rPr>
              <w:t>PYCG201023130</w:t>
            </w:r>
            <w:r>
              <w:rPr>
                <w:rFonts w:hint="eastAsia" w:ascii="宋体" w:hAnsi="宋体" w:cs="宋体"/>
                <w:b/>
                <w:sz w:val="30"/>
                <w:szCs w:val="30"/>
              </w:rPr>
              <w:t xml:space="preserve"> </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采 购 人：平阳县海西镇人民政府 </w:t>
            </w:r>
          </w:p>
          <w:p>
            <w:pPr>
              <w:spacing w:line="440" w:lineRule="exact"/>
              <w:ind w:firstLine="2117" w:firstLineChars="703"/>
              <w:rPr>
                <w:rFonts w:ascii="宋体" w:hAnsi="宋体" w:cs="宋体"/>
                <w:b/>
                <w:sz w:val="30"/>
                <w:szCs w:val="30"/>
              </w:rPr>
            </w:pPr>
            <w:r>
              <w:rPr>
                <w:rFonts w:hint="eastAsia" w:ascii="宋体" w:hAnsi="宋体" w:cs="宋体"/>
                <w:b/>
                <w:sz w:val="30"/>
                <w:szCs w:val="30"/>
              </w:rPr>
              <w:t>联 系 人：</w:t>
            </w:r>
            <w:r>
              <w:rPr>
                <w:rFonts w:hint="eastAsia" w:ascii="宋体" w:hAnsi="宋体" w:cs="宋体"/>
                <w:b/>
                <w:sz w:val="30"/>
                <w:szCs w:val="30"/>
                <w:lang w:val="en-US" w:eastAsia="zh-CN"/>
              </w:rPr>
              <w:t>赵女士</w:t>
            </w:r>
            <w:r>
              <w:rPr>
                <w:rFonts w:hint="eastAsia" w:ascii="宋体" w:hAnsi="宋体" w:cs="宋体"/>
                <w:b/>
                <w:sz w:val="30"/>
                <w:szCs w:val="30"/>
              </w:rPr>
              <w:t xml:space="preserve"> </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 xml:space="preserve">联系电话: </w:t>
            </w:r>
            <w:r>
              <w:rPr>
                <w:rFonts w:hint="eastAsia" w:ascii="宋体" w:hAnsi="宋体" w:cs="宋体"/>
                <w:b/>
                <w:sz w:val="30"/>
                <w:szCs w:val="30"/>
                <w:lang w:val="en-US" w:eastAsia="zh-CN"/>
              </w:rPr>
              <w:t>13958956423</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 </w:t>
            </w:r>
          </w:p>
          <w:p>
            <w:pPr>
              <w:pStyle w:val="43"/>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b/>
                <w:sz w:val="30"/>
              </w:rPr>
            </w:pPr>
            <w:r>
              <w:rPr>
                <w:rFonts w:hint="eastAsia" w:ascii="宋体" w:hAnsi="宋体" w:cs="宋体"/>
                <w:b/>
                <w:sz w:val="30"/>
                <w:szCs w:val="30"/>
              </w:rPr>
              <w:t>采购机构：</w:t>
            </w:r>
            <w:r>
              <w:rPr>
                <w:rFonts w:hint="eastAsia"/>
                <w:b/>
                <w:sz w:val="30"/>
              </w:rPr>
              <w:t>浙江亿邦建设咨询有限公司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蔡先生</w:t>
            </w:r>
          </w:p>
          <w:p>
            <w:pPr>
              <w:widowControl/>
              <w:snapToGrid w:val="0"/>
              <w:spacing w:line="360" w:lineRule="auto"/>
              <w:ind w:firstLine="2117"/>
              <w:jc w:val="left"/>
              <w:rPr>
                <w:b/>
                <w:sz w:val="30"/>
              </w:rPr>
            </w:pPr>
            <w:r>
              <w:rPr>
                <w:b/>
                <w:sz w:val="30"/>
              </w:rPr>
              <w:t>联系电话：</w:t>
            </w:r>
            <w:r>
              <w:rPr>
                <w:rFonts w:hint="eastAsia"/>
                <w:b/>
                <w:sz w:val="30"/>
              </w:rPr>
              <w:t>0577-63112589、18058365298</w:t>
            </w:r>
          </w:p>
          <w:p>
            <w:pPr>
              <w:spacing w:line="440" w:lineRule="exact"/>
              <w:ind w:firstLine="2117" w:firstLineChars="703"/>
              <w:rPr>
                <w:rFonts w:ascii="宋体" w:hAnsi="宋体" w:cs="宋体"/>
                <w:b/>
                <w:sz w:val="30"/>
                <w:szCs w:val="30"/>
              </w:rPr>
            </w:pPr>
            <w:r>
              <w:rPr>
                <w:b/>
                <w:sz w:val="30"/>
                <w:szCs w:val="30"/>
              </w:rPr>
              <w:t>联系传真：</w:t>
            </w:r>
            <w:r>
              <w:rPr>
                <w:rFonts w:hint="eastAsia"/>
                <w:b/>
                <w:sz w:val="30"/>
                <w:szCs w:val="30"/>
              </w:rPr>
              <w:t>0577-63112589</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8"/>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8"/>
              <w:ind w:left="0" w:leftChars="0"/>
              <w:jc w:val="center"/>
              <w:rPr>
                <w:rFonts w:ascii="宋体" w:hAnsi="宋体" w:cs="宋体"/>
                <w:b/>
                <w:color w:val="auto"/>
                <w:sz w:val="84"/>
              </w:rPr>
            </w:pPr>
            <w:r>
              <w:rPr>
                <w:rFonts w:hint="eastAsia" w:ascii="宋体" w:hAnsi="宋体" w:cs="宋体"/>
                <w:b/>
                <w:color w:val="auto"/>
                <w:sz w:val="30"/>
                <w:szCs w:val="30"/>
              </w:rPr>
              <w:t>二零二零年</w:t>
            </w:r>
            <w:r>
              <w:rPr>
                <w:rFonts w:hint="eastAsia" w:ascii="宋体" w:hAnsi="宋体" w:cs="宋体"/>
                <w:b/>
                <w:color w:val="auto"/>
                <w:sz w:val="30"/>
                <w:szCs w:val="30"/>
                <w:lang w:eastAsia="zh-CN"/>
              </w:rPr>
              <w:t>十</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ascii="宋体" w:hAnsi="宋体" w:cs="宋体"/>
          <w:b/>
          <w:bCs/>
          <w:color w:val="000000"/>
          <w:kern w:val="0"/>
          <w:sz w:val="32"/>
          <w:szCs w:val="32"/>
        </w:rPr>
      </w:pPr>
      <w:r>
        <w:rPr>
          <w:rFonts w:hint="eastAsia" w:ascii="宋体" w:hAnsi="宋体" w:cs="宋体"/>
          <w:b/>
          <w:bCs/>
          <w:color w:val="000000"/>
          <w:kern w:val="0"/>
          <w:sz w:val="32"/>
          <w:szCs w:val="32"/>
        </w:rPr>
        <w:t>浙江亿邦建设咨询有限公司关于平阳县宋埠站位水质提升与水质稳定</w:t>
      </w:r>
      <w:r>
        <w:rPr>
          <w:rFonts w:hint="eastAsia" w:ascii="宋体" w:hAnsi="宋体" w:cs="宋体"/>
          <w:b/>
          <w:bCs/>
          <w:color w:val="000000"/>
          <w:kern w:val="0"/>
          <w:sz w:val="32"/>
          <w:szCs w:val="32"/>
          <w:lang w:eastAsia="zh-CN"/>
        </w:rPr>
        <w:t>项目采购</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ascii="宋体" w:hAnsi="宋体"/>
          <w:b/>
          <w:color w:val="000000"/>
          <w:sz w:val="30"/>
          <w:szCs w:val="30"/>
        </w:rPr>
      </w:pPr>
      <w:r>
        <w:rPr>
          <w:rFonts w:hint="eastAsia" w:ascii="宋体" w:hAnsi="宋体"/>
          <w:b/>
          <w:color w:val="000000"/>
          <w:sz w:val="30"/>
          <w:szCs w:val="30"/>
        </w:rPr>
        <w:t>公告日期：2020年</w:t>
      </w:r>
      <w:r>
        <w:rPr>
          <w:rFonts w:hint="eastAsia" w:ascii="宋体" w:hAnsi="宋体"/>
          <w:b/>
          <w:color w:val="000000"/>
          <w:sz w:val="30"/>
          <w:szCs w:val="30"/>
          <w:lang w:val="en-US" w:eastAsia="zh-CN"/>
        </w:rPr>
        <w:t>10</w:t>
      </w:r>
      <w:r>
        <w:rPr>
          <w:rFonts w:hint="eastAsia" w:ascii="宋体" w:hAnsi="宋体"/>
          <w:b/>
          <w:color w:val="000000"/>
          <w:sz w:val="30"/>
          <w:szCs w:val="30"/>
        </w:rPr>
        <w:t>月</w:t>
      </w:r>
      <w:r>
        <w:rPr>
          <w:rFonts w:hint="eastAsia" w:ascii="宋体" w:hAnsi="宋体"/>
          <w:b/>
          <w:color w:val="000000"/>
          <w:sz w:val="30"/>
          <w:szCs w:val="30"/>
          <w:lang w:val="en-US" w:eastAsia="zh-CN"/>
        </w:rPr>
        <w:t>23</w:t>
      </w:r>
      <w:r>
        <w:rPr>
          <w:rFonts w:hint="eastAsia" w:ascii="宋体" w:hAnsi="宋体"/>
          <w:b/>
          <w:color w:val="000000"/>
          <w:sz w:val="30"/>
          <w:szCs w:val="30"/>
        </w:rPr>
        <w:t>日</w:t>
      </w:r>
    </w:p>
    <w:p>
      <w:pPr>
        <w:widowControl/>
        <w:shd w:val="clear" w:color="auto" w:fill="FFFFFF"/>
        <w:spacing w:before="75" w:after="75"/>
        <w:jc w:val="left"/>
        <w:rPr>
          <w:rFonts w:ascii="宋体" w:hAnsi="宋体" w:cs="宋体"/>
          <w:color w:val="000000"/>
          <w:kern w:val="0"/>
          <w:sz w:val="27"/>
          <w:szCs w:val="27"/>
          <w:shd w:val="clear" w:color="auto" w:fill="FFFFFF"/>
          <w:lang w:bidi="ar"/>
        </w:rPr>
      </w:pPr>
      <w:r>
        <w:rPr>
          <w:rFonts w:hint="eastAsia" w:ascii="宋体" w:hAnsi="宋体" w:cs="宋体"/>
          <w:color w:val="000000"/>
          <w:kern w:val="0"/>
          <w:sz w:val="27"/>
          <w:szCs w:val="27"/>
          <w:shd w:val="clear" w:color="auto" w:fill="FFFFFF"/>
          <w:lang w:bidi="ar"/>
        </w:rPr>
        <w:t>项目概况</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平阳县宋埠站位水质提升与水质稳定</w:t>
      </w:r>
      <w:r>
        <w:rPr>
          <w:rFonts w:hint="eastAsia" w:ascii="宋体" w:hAnsi="宋体" w:cs="宋体"/>
          <w:color w:val="000000"/>
          <w:kern w:val="0"/>
          <w:sz w:val="27"/>
          <w:szCs w:val="27"/>
          <w:shd w:val="clear" w:color="auto" w:fill="FFFFFF"/>
          <w:lang w:eastAsia="zh-CN" w:bidi="ar"/>
        </w:rPr>
        <w:t>项目采购</w:t>
      </w:r>
      <w:r>
        <w:rPr>
          <w:rFonts w:hint="eastAsia" w:ascii="宋体" w:hAnsi="宋体" w:cs="宋体"/>
          <w:color w:val="000000"/>
          <w:kern w:val="0"/>
          <w:sz w:val="27"/>
          <w:szCs w:val="27"/>
          <w:shd w:val="clear" w:color="auto" w:fill="FFFFFF"/>
          <w:lang w:bidi="ar"/>
        </w:rPr>
        <w:t>的潜在投标人应在政府采购云平台下载获取（下载）招标文件，并于 2020年</w:t>
      </w:r>
      <w:r>
        <w:rPr>
          <w:rFonts w:hint="eastAsia" w:ascii="宋体" w:hAnsi="宋体" w:cs="宋体"/>
          <w:color w:val="000000"/>
          <w:kern w:val="0"/>
          <w:sz w:val="27"/>
          <w:szCs w:val="27"/>
          <w:shd w:val="clear" w:color="auto" w:fill="FFFFFF"/>
          <w:lang w:val="en-US" w:eastAsia="zh-CN" w:bidi="ar"/>
        </w:rPr>
        <w:t>11</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13</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（北京时间）前递交（上传）投标文件。</w:t>
      </w:r>
      <w:r>
        <w:rPr>
          <w:rFonts w:hint="eastAsia" w:ascii="宋体" w:hAnsi="宋体" w:cs="宋体"/>
          <w:color w:val="000000"/>
          <w:kern w:val="0"/>
          <w:sz w:val="24"/>
          <w:shd w:val="clear" w:color="auto" w:fill="FFFFFF"/>
          <w:lang w:bidi="ar"/>
        </w:rPr>
        <w:t>                             </w:t>
      </w:r>
    </w:p>
    <w:p>
      <w:pPr>
        <w:widowControl/>
        <w:shd w:val="clear" w:color="auto" w:fill="FFFFFF"/>
        <w:spacing w:before="255" w:after="255"/>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一、项目基本情况</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项目编号：</w:t>
      </w:r>
      <w:r>
        <w:rPr>
          <w:rFonts w:hint="eastAsia" w:ascii="宋体" w:hAnsi="宋体" w:cs="宋体"/>
          <w:color w:val="000000"/>
          <w:kern w:val="0"/>
          <w:sz w:val="27"/>
          <w:szCs w:val="27"/>
          <w:shd w:val="clear" w:color="auto" w:fill="FFFFFF"/>
          <w:lang w:eastAsia="zh-CN" w:bidi="ar"/>
        </w:rPr>
        <w:t>PYCG201023130</w:t>
      </w:r>
      <w:r>
        <w:rPr>
          <w:rFonts w:hint="eastAsia" w:ascii="宋体" w:hAnsi="宋体" w:cs="宋体"/>
          <w:color w:val="000000"/>
          <w:kern w:val="0"/>
          <w:sz w:val="27"/>
          <w:szCs w:val="27"/>
          <w:shd w:val="clear" w:color="auto" w:fill="FFFFFF"/>
          <w:lang w:bidi="ar"/>
        </w:rPr>
        <w:t> </w:t>
      </w:r>
    </w:p>
    <w:p>
      <w:pPr>
        <w:widowControl/>
        <w:shd w:val="clear" w:color="auto" w:fill="FFFFFF"/>
        <w:spacing w:before="75" w:after="75"/>
        <w:jc w:val="left"/>
        <w:rPr>
          <w:rFonts w:hint="eastAsia" w:ascii="宋体" w:hAnsi="宋体" w:eastAsia="宋体" w:cs="宋体"/>
          <w:color w:val="333333"/>
          <w:sz w:val="18"/>
          <w:szCs w:val="18"/>
          <w:lang w:eastAsia="zh-CN"/>
        </w:rPr>
      </w:pPr>
      <w:r>
        <w:rPr>
          <w:rFonts w:hint="eastAsia" w:ascii="宋体" w:hAnsi="宋体" w:cs="宋体"/>
          <w:color w:val="000000"/>
          <w:kern w:val="0"/>
          <w:sz w:val="27"/>
          <w:szCs w:val="27"/>
          <w:shd w:val="clear" w:color="auto" w:fill="FFFFFF"/>
          <w:lang w:bidi="ar"/>
        </w:rPr>
        <w:t>    项目名称：平阳县宋埠站位水质提升与水质稳定</w:t>
      </w:r>
      <w:r>
        <w:rPr>
          <w:rFonts w:hint="eastAsia" w:ascii="宋体" w:hAnsi="宋体" w:cs="宋体"/>
          <w:color w:val="000000"/>
          <w:kern w:val="0"/>
          <w:sz w:val="27"/>
          <w:szCs w:val="27"/>
          <w:shd w:val="clear" w:color="auto" w:fill="FFFFFF"/>
          <w:lang w:eastAsia="zh-CN" w:bidi="ar"/>
        </w:rPr>
        <w:t>项目采购</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预算金额（元）：2600000 </w:t>
      </w:r>
      <w:r>
        <w:rPr>
          <w:rFonts w:hint="eastAsia" w:ascii="宋体" w:hAnsi="宋体" w:cs="宋体"/>
          <w:color w:val="000000"/>
          <w:kern w:val="0"/>
          <w:sz w:val="24"/>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最高限价（元）：无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采购需求：</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标项一:</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标项名称: 平阳县宋埠站位水质提升与水质稳定</w:t>
      </w:r>
      <w:r>
        <w:rPr>
          <w:rFonts w:hint="eastAsia" w:ascii="宋体" w:hAnsi="宋体" w:cs="宋体"/>
          <w:color w:val="000000"/>
          <w:kern w:val="0"/>
          <w:sz w:val="27"/>
          <w:szCs w:val="27"/>
          <w:shd w:val="clear" w:color="auto" w:fill="FFFFFF"/>
          <w:lang w:eastAsia="zh-CN" w:bidi="ar"/>
        </w:rPr>
        <w:t>项目采购</w:t>
      </w:r>
      <w:r>
        <w:rPr>
          <w:rFonts w:hint="eastAsia" w:ascii="宋体" w:hAnsi="宋体" w:cs="宋体"/>
          <w:color w:val="000000"/>
          <w:kern w:val="0"/>
          <w:sz w:val="27"/>
          <w:szCs w:val="27"/>
          <w:shd w:val="clear" w:color="auto" w:fill="FFFFFF"/>
          <w:lang w:bidi="ar"/>
        </w:rPr>
        <w:t>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数量: 1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预算金额（元）: 2600000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简要规格描述或项目基本概况介绍、用途：详见招标文件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备注：</w:t>
      </w:r>
      <w:r>
        <w:rPr>
          <w:rFonts w:hint="eastAsia" w:ascii="宋体" w:hAnsi="宋体" w:cs="宋体"/>
          <w:color w:val="000000"/>
          <w:kern w:val="0"/>
          <w:sz w:val="24"/>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合同履约期限：至合同结束（以采购人发出的书面进场通知时间为准）</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本项目（否）接受联合体投标。</w:t>
      </w:r>
    </w:p>
    <w:p>
      <w:pPr>
        <w:widowControl/>
        <w:shd w:val="clear" w:color="auto" w:fill="FFFFFF"/>
        <w:spacing w:before="225" w:after="225"/>
        <w:jc w:val="left"/>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二、申请人的资格要求：</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1.满足《中华人民共和国政府采购法》第二十二条规定；未被“信用中国”（www.creditchina.gov.cn)、中国政府采购网（www.ccgp.gov.cn）列入失信被执行人、重大税收违法案件当事人名单、政府采购严重违法失信行为记录名单。</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2.落实政府采购政策需满足的资格要求：无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3.本项目的特定资格要求</w:t>
      </w:r>
      <w:r>
        <w:rPr>
          <w:rFonts w:hint="eastAsia" w:ascii="宋体" w:hAnsi="宋体" w:cs="宋体"/>
          <w:color w:val="auto"/>
          <w:kern w:val="0"/>
          <w:sz w:val="27"/>
          <w:szCs w:val="27"/>
          <w:shd w:val="clear" w:color="auto" w:fill="FFFFFF"/>
          <w:lang w:bidi="ar"/>
        </w:rPr>
        <w:t>：</w:t>
      </w:r>
      <w:r>
        <w:rPr>
          <w:rFonts w:hint="eastAsia" w:ascii="宋体" w:hAnsi="宋体" w:cs="宋体"/>
          <w:color w:val="auto"/>
          <w:kern w:val="0"/>
          <w:sz w:val="27"/>
          <w:szCs w:val="27"/>
          <w:shd w:val="clear" w:color="auto" w:fill="FFFFFF"/>
          <w:lang w:val="en-US" w:eastAsia="zh-CN" w:bidi="ar"/>
        </w:rPr>
        <w:t>供应商具有环保工程专业承包三级及以上资质</w:t>
      </w:r>
    </w:p>
    <w:p>
      <w:pPr>
        <w:widowControl/>
        <w:shd w:val="clear" w:color="auto" w:fill="FFFFFF"/>
        <w:spacing w:before="255" w:after="255"/>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三、获取招标文件</w:t>
      </w:r>
      <w:r>
        <w:rPr>
          <w:rFonts w:hint="eastAsia" w:ascii="宋体" w:hAnsi="宋体" w:cs="宋体"/>
          <w:color w:val="000000"/>
          <w:kern w:val="0"/>
          <w:sz w:val="27"/>
          <w:szCs w:val="27"/>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时间：/至2020年</w:t>
      </w:r>
      <w:r>
        <w:rPr>
          <w:rFonts w:hint="eastAsia" w:ascii="宋体" w:hAnsi="宋体" w:cs="宋体"/>
          <w:color w:val="000000"/>
          <w:kern w:val="0"/>
          <w:sz w:val="27"/>
          <w:szCs w:val="27"/>
          <w:shd w:val="clear" w:color="auto" w:fill="FFFFFF"/>
          <w:lang w:val="en-US" w:eastAsia="zh-CN" w:bidi="ar"/>
        </w:rPr>
        <w:t>11</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13</w:t>
      </w:r>
      <w:r>
        <w:rPr>
          <w:rFonts w:hint="eastAsia" w:ascii="宋体" w:hAnsi="宋体" w:cs="宋体"/>
          <w:color w:val="000000"/>
          <w:kern w:val="0"/>
          <w:sz w:val="27"/>
          <w:szCs w:val="27"/>
          <w:shd w:val="clear" w:color="auto" w:fill="FFFFFF"/>
          <w:lang w:bidi="ar"/>
        </w:rPr>
        <w:t>日 ，每天上午00:00至12:00 ，下午12:00至23:59（北京时间，线上获取法定节假日均可，线下获取文件法定节假日除外）</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地点（网址）：政府采购云平台下载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方式：政府采购云平台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售价（元）：0</w:t>
      </w:r>
      <w:r>
        <w:rPr>
          <w:rFonts w:hint="eastAsia" w:ascii="宋体" w:hAnsi="宋体" w:cs="宋体"/>
          <w:color w:val="000000"/>
          <w:kern w:val="0"/>
          <w:sz w:val="24"/>
          <w:shd w:val="clear" w:color="auto" w:fill="FFFFFF"/>
          <w:lang w:bidi="ar"/>
        </w:rPr>
        <w:t>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四、提交投标文件截止时间、开标时间和地点</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提交投标文件截止时间：2020年</w:t>
      </w:r>
      <w:r>
        <w:rPr>
          <w:rFonts w:hint="eastAsia" w:ascii="宋体" w:hAnsi="宋体" w:cs="宋体"/>
          <w:color w:val="000000"/>
          <w:kern w:val="0"/>
          <w:sz w:val="27"/>
          <w:szCs w:val="27"/>
          <w:shd w:val="clear" w:color="auto" w:fill="FFFFFF"/>
          <w:lang w:val="en-US" w:eastAsia="zh-CN" w:bidi="ar"/>
        </w:rPr>
        <w:t>11</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13</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 xml:space="preserve">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投标地点（网址）：政府采购云平台在线投标，投标供应商无须前往评审现场。</w:t>
      </w:r>
      <w:r>
        <w:rPr>
          <w:rFonts w:hint="eastAsia" w:ascii="宋体" w:hAnsi="宋体" w:cs="宋体"/>
          <w:color w:val="000000"/>
          <w:kern w:val="0"/>
          <w:sz w:val="24"/>
          <w:shd w:val="clear" w:color="auto" w:fill="FFFFFF"/>
          <w:lang w:bidi="ar"/>
        </w:rPr>
        <w:t>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开标时间：2020年</w:t>
      </w:r>
      <w:r>
        <w:rPr>
          <w:rFonts w:hint="eastAsia" w:ascii="宋体" w:hAnsi="宋体" w:cs="宋体"/>
          <w:color w:val="000000"/>
          <w:kern w:val="0"/>
          <w:sz w:val="27"/>
          <w:szCs w:val="27"/>
          <w:shd w:val="clear" w:color="auto" w:fill="FFFFFF"/>
          <w:lang w:val="en-US" w:eastAsia="zh-CN" w:bidi="ar"/>
        </w:rPr>
        <w:t>11</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13</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 xml:space="preserve">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开标地点（网址）：政府采购云平台在线投标，投标供应商无须前往评审现场。</w:t>
      </w:r>
      <w:r>
        <w:rPr>
          <w:rFonts w:hint="eastAsia" w:ascii="宋体" w:hAnsi="宋体" w:cs="宋体"/>
          <w:color w:val="000000"/>
          <w:kern w:val="0"/>
          <w:sz w:val="24"/>
          <w:shd w:val="clear" w:color="auto" w:fill="FFFFFF"/>
          <w:lang w:bidi="ar"/>
        </w:rPr>
        <w:t>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五、公告期限</w:t>
      </w:r>
      <w:r>
        <w:rPr>
          <w:rFonts w:hint="eastAsia" w:ascii="宋体" w:hAnsi="宋体" w:cs="宋体"/>
          <w:color w:val="000000"/>
          <w:kern w:val="0"/>
          <w:sz w:val="32"/>
          <w:szCs w:val="32"/>
          <w:shd w:val="clear" w:color="auto" w:fill="FFFFFF"/>
          <w:lang w:bidi="ar"/>
        </w:rPr>
        <w:t>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自本公告发布之日起5个工作日。</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六、其他补充事宜</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了“备份投标文件”而未将“电子加密投标文件”成功上传至“政府采购云平台”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七、对本次采购提出询问、质疑、投诉，请按以下方式联系</w:t>
      </w:r>
    </w:p>
    <w:p>
      <w:pPr>
        <w:pStyle w:val="25"/>
      </w:pPr>
      <w:r>
        <w:rPr>
          <w:rFonts w:hint="eastAsia" w:ascii="宋体" w:hAnsi="宋体" w:cs="宋体"/>
          <w:sz w:val="27"/>
          <w:szCs w:val="27"/>
          <w:shd w:val="clear" w:color="auto" w:fill="FFFFFF"/>
          <w:lang w:bidi="ar"/>
        </w:rPr>
        <w:t xml:space="preserve">  </w:t>
      </w:r>
      <w:r>
        <w:rPr>
          <w:rFonts w:ascii="仿宋" w:hAnsi="仿宋" w:eastAsia="仿宋" w:cs="仿宋"/>
          <w:sz w:val="27"/>
          <w:szCs w:val="27"/>
        </w:rPr>
        <w:t> </w:t>
      </w:r>
      <w:r>
        <w:rPr>
          <w:rFonts w:hint="eastAsia" w:ascii="仿宋" w:hAnsi="仿宋" w:eastAsia="仿宋" w:cs="仿宋"/>
          <w:sz w:val="27"/>
          <w:szCs w:val="27"/>
        </w:rPr>
        <w:t>1.采购人信息</w:t>
      </w:r>
    </w:p>
    <w:p>
      <w:pPr>
        <w:pStyle w:val="25"/>
      </w:pPr>
      <w:r>
        <w:rPr>
          <w:rFonts w:hint="eastAsia" w:ascii="仿宋" w:hAnsi="仿宋" w:eastAsia="仿宋" w:cs="仿宋"/>
          <w:sz w:val="27"/>
          <w:szCs w:val="27"/>
        </w:rPr>
        <w:t>    名    称：平阳县海西镇人民政府 </w:t>
      </w:r>
    </w:p>
    <w:p>
      <w:pPr>
        <w:pStyle w:val="25"/>
      </w:pPr>
      <w:r>
        <w:rPr>
          <w:rFonts w:hint="eastAsia" w:ascii="仿宋" w:hAnsi="仿宋" w:eastAsia="仿宋" w:cs="仿宋"/>
          <w:sz w:val="27"/>
          <w:szCs w:val="27"/>
        </w:rPr>
        <w:t>    地    址：滨海新区广场路1号 </w:t>
      </w:r>
    </w:p>
    <w:p>
      <w:pPr>
        <w:pStyle w:val="25"/>
      </w:pPr>
      <w:r>
        <w:rPr>
          <w:rFonts w:hint="eastAsia" w:ascii="仿宋" w:hAnsi="仿宋" w:eastAsia="仿宋" w:cs="仿宋"/>
          <w:sz w:val="27"/>
          <w:szCs w:val="27"/>
        </w:rPr>
        <w:t>    传    真：/ </w:t>
      </w:r>
    </w:p>
    <w:p>
      <w:pPr>
        <w:pStyle w:val="25"/>
      </w:pPr>
      <w:r>
        <w:rPr>
          <w:rFonts w:hint="eastAsia" w:ascii="仿宋" w:hAnsi="仿宋" w:eastAsia="仿宋" w:cs="仿宋"/>
          <w:sz w:val="27"/>
          <w:szCs w:val="27"/>
        </w:rPr>
        <w:t>    项目联系人（询问）：</w:t>
      </w:r>
      <w:r>
        <w:rPr>
          <w:rFonts w:hint="eastAsia" w:ascii="仿宋" w:hAnsi="仿宋" w:eastAsia="仿宋" w:cs="仿宋"/>
          <w:sz w:val="27"/>
          <w:szCs w:val="27"/>
          <w:lang w:val="en-US" w:eastAsia="zh-CN"/>
        </w:rPr>
        <w:t>赵女士</w:t>
      </w:r>
      <w:r>
        <w:rPr>
          <w:rFonts w:hint="eastAsia" w:ascii="仿宋" w:hAnsi="仿宋" w:eastAsia="仿宋" w:cs="仿宋"/>
          <w:sz w:val="27"/>
          <w:szCs w:val="27"/>
        </w:rPr>
        <w:t> </w:t>
      </w:r>
    </w:p>
    <w:p>
      <w:pPr>
        <w:pStyle w:val="25"/>
      </w:pPr>
      <w:r>
        <w:rPr>
          <w:rFonts w:hint="eastAsia" w:ascii="仿宋" w:hAnsi="仿宋" w:eastAsia="仿宋" w:cs="仿宋"/>
          <w:sz w:val="27"/>
          <w:szCs w:val="27"/>
        </w:rPr>
        <w:t>    项目联系方式（询问）：13958956423</w:t>
      </w:r>
    </w:p>
    <w:p>
      <w:pPr>
        <w:pStyle w:val="25"/>
      </w:pPr>
      <w:r>
        <w:rPr>
          <w:rFonts w:hint="eastAsia" w:ascii="仿宋" w:hAnsi="仿宋" w:eastAsia="仿宋" w:cs="仿宋"/>
          <w:sz w:val="27"/>
          <w:szCs w:val="27"/>
        </w:rPr>
        <w:t>    质疑联系人：330326300901fp</w:t>
      </w:r>
    </w:p>
    <w:p>
      <w:pPr>
        <w:pStyle w:val="25"/>
      </w:pPr>
      <w:r>
        <w:rPr>
          <w:rFonts w:hint="eastAsia" w:ascii="仿宋" w:hAnsi="仿宋" w:eastAsia="仿宋" w:cs="仿宋"/>
          <w:sz w:val="27"/>
          <w:szCs w:val="27"/>
        </w:rPr>
        <w:t>    质疑联系方式：13868506058</w:t>
      </w:r>
    </w:p>
    <w:p>
      <w:pPr>
        <w:pStyle w:val="25"/>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p>
    <w:p>
      <w:pPr>
        <w:pStyle w:val="25"/>
      </w:pPr>
      <w:r>
        <w:rPr>
          <w:rFonts w:hint="eastAsia" w:ascii="仿宋" w:hAnsi="仿宋" w:eastAsia="仿宋" w:cs="仿宋"/>
          <w:sz w:val="27"/>
          <w:szCs w:val="27"/>
        </w:rPr>
        <w:t>    名    称：浙江亿邦建设咨询有限公司 </w:t>
      </w:r>
    </w:p>
    <w:p>
      <w:pPr>
        <w:pStyle w:val="25"/>
      </w:pPr>
      <w:r>
        <w:rPr>
          <w:rFonts w:hint="eastAsia" w:ascii="仿宋" w:hAnsi="仿宋" w:eastAsia="仿宋" w:cs="仿宋"/>
          <w:sz w:val="27"/>
          <w:szCs w:val="27"/>
        </w:rPr>
        <w:t>    地    址：温州市平阳县鳌江镇（兴鳌中路）家电城B区4幢三楼西三间 </w:t>
      </w:r>
    </w:p>
    <w:p>
      <w:pPr>
        <w:pStyle w:val="25"/>
      </w:pPr>
      <w:r>
        <w:rPr>
          <w:rFonts w:hint="eastAsia" w:ascii="仿宋" w:hAnsi="仿宋" w:eastAsia="仿宋" w:cs="仿宋"/>
          <w:sz w:val="27"/>
          <w:szCs w:val="27"/>
        </w:rPr>
        <w:t>    传    真：/  </w:t>
      </w:r>
    </w:p>
    <w:p>
      <w:pPr>
        <w:pStyle w:val="25"/>
      </w:pPr>
      <w:r>
        <w:rPr>
          <w:rFonts w:hint="eastAsia" w:ascii="仿宋" w:hAnsi="仿宋" w:eastAsia="仿宋" w:cs="仿宋"/>
          <w:sz w:val="27"/>
          <w:szCs w:val="27"/>
        </w:rPr>
        <w:t>    项目联系人（询问）：蔡俊 </w:t>
      </w:r>
    </w:p>
    <w:p>
      <w:pPr>
        <w:pStyle w:val="25"/>
      </w:pPr>
      <w:r>
        <w:rPr>
          <w:rFonts w:hint="eastAsia" w:ascii="仿宋" w:hAnsi="仿宋" w:eastAsia="仿宋" w:cs="仿宋"/>
          <w:sz w:val="27"/>
          <w:szCs w:val="27"/>
        </w:rPr>
        <w:t>    项目联系方式（询问）：0577-63112589、18058365298 </w:t>
      </w:r>
    </w:p>
    <w:p>
      <w:pPr>
        <w:pStyle w:val="25"/>
      </w:pPr>
      <w:r>
        <w:rPr>
          <w:rFonts w:hint="eastAsia" w:ascii="仿宋" w:hAnsi="仿宋" w:eastAsia="仿宋" w:cs="仿宋"/>
          <w:sz w:val="27"/>
          <w:szCs w:val="27"/>
        </w:rPr>
        <w:t>    质疑联系人：卢丽娜 </w:t>
      </w:r>
    </w:p>
    <w:p>
      <w:pPr>
        <w:pStyle w:val="25"/>
      </w:pPr>
      <w:r>
        <w:rPr>
          <w:rFonts w:hint="eastAsia" w:ascii="仿宋" w:hAnsi="仿宋" w:eastAsia="仿宋" w:cs="仿宋"/>
          <w:sz w:val="27"/>
          <w:szCs w:val="27"/>
        </w:rPr>
        <w:t>    质疑联系方式：0577-61511617 </w:t>
      </w:r>
    </w:p>
    <w:p>
      <w:pPr>
        <w:pStyle w:val="25"/>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p>
    <w:p>
      <w:pPr>
        <w:pStyle w:val="25"/>
      </w:pPr>
      <w:r>
        <w:rPr>
          <w:rFonts w:hint="eastAsia" w:ascii="仿宋" w:hAnsi="仿宋" w:eastAsia="仿宋" w:cs="仿宋"/>
          <w:sz w:val="27"/>
          <w:szCs w:val="27"/>
        </w:rPr>
        <w:t>    名    称：平阳县财政局政府采购监督管理科 </w:t>
      </w:r>
    </w:p>
    <w:p>
      <w:pPr>
        <w:pStyle w:val="25"/>
      </w:pPr>
      <w:r>
        <w:rPr>
          <w:rFonts w:hint="eastAsia" w:ascii="仿宋" w:hAnsi="仿宋" w:eastAsia="仿宋" w:cs="仿宋"/>
          <w:sz w:val="27"/>
          <w:szCs w:val="27"/>
        </w:rPr>
        <w:t>    地    址：平阳县昆阳镇人民路373号 </w:t>
      </w:r>
    </w:p>
    <w:p>
      <w:pPr>
        <w:pStyle w:val="25"/>
      </w:pPr>
      <w:r>
        <w:rPr>
          <w:rFonts w:hint="eastAsia" w:ascii="仿宋" w:hAnsi="仿宋" w:eastAsia="仿宋" w:cs="仿宋"/>
          <w:sz w:val="27"/>
          <w:szCs w:val="27"/>
        </w:rPr>
        <w:t>    传    真：/ </w:t>
      </w:r>
    </w:p>
    <w:p>
      <w:pPr>
        <w:pStyle w:val="25"/>
      </w:pPr>
      <w:r>
        <w:rPr>
          <w:rFonts w:hint="eastAsia" w:ascii="仿宋" w:hAnsi="仿宋" w:eastAsia="仿宋" w:cs="仿宋"/>
          <w:sz w:val="27"/>
          <w:szCs w:val="27"/>
        </w:rPr>
        <w:t>    联系人 ：陈</w:t>
      </w:r>
      <w:r>
        <w:rPr>
          <w:rFonts w:hint="eastAsia" w:ascii="仿宋" w:hAnsi="仿宋" w:eastAsia="仿宋" w:cs="仿宋"/>
          <w:sz w:val="27"/>
          <w:szCs w:val="27"/>
          <w:lang w:val="en-US" w:eastAsia="zh-CN"/>
        </w:rPr>
        <w:t>先生</w:t>
      </w:r>
      <w:r>
        <w:rPr>
          <w:rFonts w:hint="eastAsia" w:ascii="仿宋" w:hAnsi="仿宋" w:eastAsia="仿宋" w:cs="仿宋"/>
          <w:sz w:val="27"/>
          <w:szCs w:val="27"/>
        </w:rPr>
        <w:t> </w:t>
      </w:r>
    </w:p>
    <w:p>
      <w:pPr>
        <w:pStyle w:val="25"/>
      </w:pPr>
      <w:r>
        <w:rPr>
          <w:rFonts w:hint="eastAsia" w:ascii="仿宋" w:hAnsi="仿宋" w:eastAsia="仿宋" w:cs="仿宋"/>
          <w:sz w:val="27"/>
          <w:szCs w:val="27"/>
        </w:rPr>
        <w:t>    监督投诉电话：0577-63889763</w:t>
      </w:r>
    </w:p>
    <w:p>
      <w:pPr>
        <w:widowControl/>
        <w:shd w:val="clear" w:color="auto" w:fill="FFFFFF"/>
        <w:spacing w:before="75" w:after="75"/>
        <w:jc w:val="left"/>
        <w:rPr>
          <w:rFonts w:ascii="宋体" w:hAnsi="宋体" w:cs="宋体"/>
          <w:color w:val="333333"/>
          <w:sz w:val="18"/>
          <w:szCs w:val="18"/>
        </w:rPr>
      </w:pP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4"/>
          <w:shd w:val="clear" w:color="auto" w:fill="FFFFFF"/>
          <w:lang w:bidi="ar"/>
        </w:rPr>
        <w:t>    若对项目采购电子交易系统操作有疑问，可登录政采云（</w:t>
      </w:r>
      <w:r>
        <w:fldChar w:fldCharType="begin"/>
      </w:r>
      <w:r>
        <w:instrText xml:space="preserve"> HYPERLINK "https://www.zcygov.cn/" </w:instrText>
      </w:r>
      <w:r>
        <w:fldChar w:fldCharType="separate"/>
      </w:r>
      <w:r>
        <w:rPr>
          <w:rStyle w:val="35"/>
          <w:rFonts w:hint="eastAsia" w:ascii="宋体" w:hAnsi="宋体" w:cs="宋体"/>
          <w:color w:val="4A4A4A"/>
          <w:sz w:val="24"/>
          <w:u w:val="none"/>
          <w:shd w:val="clear" w:color="auto" w:fill="FFFFFF"/>
        </w:rPr>
        <w:t>https://www.zcygov.cn/</w:t>
      </w:r>
      <w:r>
        <w:rPr>
          <w:rStyle w:val="35"/>
          <w:rFonts w:hint="eastAsia" w:ascii="宋体" w:hAnsi="宋体" w:cs="宋体"/>
          <w:color w:val="4A4A4A"/>
          <w:sz w:val="24"/>
          <w:u w:val="none"/>
          <w:shd w:val="clear" w:color="auto" w:fill="FFFFFF"/>
        </w:rPr>
        <w:fldChar w:fldCharType="end"/>
      </w:r>
      <w:r>
        <w:rPr>
          <w:rFonts w:hint="eastAsia" w:ascii="宋体" w:hAnsi="宋体" w:cs="宋体"/>
          <w:color w:val="000000"/>
          <w:kern w:val="0"/>
          <w:sz w:val="24"/>
          <w:shd w:val="clear" w:color="auto" w:fill="FFFFFF"/>
          <w:lang w:bidi="ar"/>
        </w:rPr>
        <w:t>），点击右侧咨询小采，获取采小蜜智能服务管家帮助，或拨打政采云服务热线400-881-7190获取热线服务帮助。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4"/>
          <w:shd w:val="clear" w:color="auto" w:fill="FFFFFF"/>
          <w:lang w:bidi="ar"/>
        </w:rPr>
        <w:t>CA问题联系电话（人工）：汇信CA 400-888-4636；天谷CA 400-087-8198。</w:t>
      </w:r>
    </w:p>
    <w:p>
      <w:pPr>
        <w:widowControl/>
        <w:shd w:val="clear" w:color="auto" w:fill="FFFFFF"/>
        <w:ind w:firstLine="440"/>
        <w:jc w:val="left"/>
        <w:rPr>
          <w:rFonts w:ascii="宋体" w:hAnsi="宋体" w:cs="宋体"/>
          <w:color w:val="333333"/>
          <w:sz w:val="18"/>
          <w:szCs w:val="18"/>
        </w:rPr>
      </w:pPr>
      <w:r>
        <w:rPr>
          <w:rFonts w:hint="eastAsia" w:ascii="宋体" w:hAnsi="宋体" w:cs="宋体"/>
          <w:color w:val="333333"/>
          <w:kern w:val="0"/>
          <w:sz w:val="22"/>
          <w:szCs w:val="22"/>
          <w:shd w:val="clear" w:color="auto" w:fill="FFFFFF"/>
          <w:lang w:bidi="ar"/>
        </w:rPr>
        <w:t> </w:t>
      </w:r>
    </w:p>
    <w:p>
      <w:pPr>
        <w:widowControl/>
        <w:shd w:val="clear" w:color="auto" w:fill="FFFFFF"/>
        <w:ind w:firstLine="482"/>
        <w:jc w:val="left"/>
        <w:rPr>
          <w:rFonts w:ascii="宋体" w:hAnsi="宋体" w:cs="宋体"/>
          <w:color w:val="333333"/>
          <w:sz w:val="18"/>
          <w:szCs w:val="18"/>
        </w:rPr>
      </w:pPr>
      <w:r>
        <w:rPr>
          <w:rFonts w:hint="eastAsia" w:ascii="宋体" w:hAnsi="宋体" w:cs="宋体"/>
          <w:b/>
          <w:color w:val="333333"/>
          <w:kern w:val="0"/>
          <w:sz w:val="24"/>
          <w:shd w:val="clear" w:color="auto" w:fill="FFFFFF"/>
          <w:lang w:bidi="ar"/>
        </w:rPr>
        <w:t> </w:t>
      </w:r>
    </w:p>
    <w:p>
      <w:pPr>
        <w:jc w:val="left"/>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sectPr>
          <w:footerReference r:id="rId3" w:type="default"/>
          <w:pgSz w:w="11906" w:h="16838"/>
          <w:pgMar w:top="1440" w:right="1080" w:bottom="1440" w:left="1080" w:header="851" w:footer="992" w:gutter="0"/>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rPr>
        <w:t>浙江亿邦建设咨询有限公司对平阳县宋埠站位水质提升与水质稳定</w:t>
      </w:r>
      <w:r>
        <w:rPr>
          <w:rFonts w:hint="eastAsia" w:ascii="宋体" w:hAnsi="宋体" w:cs="宋体"/>
          <w:kern w:val="0"/>
          <w:sz w:val="22"/>
          <w:szCs w:val="22"/>
          <w:lang w:eastAsia="zh-CN"/>
        </w:rPr>
        <w:t>项目采购</w:t>
      </w:r>
      <w:r>
        <w:rPr>
          <w:rFonts w:hint="eastAsia" w:ascii="宋体" w:hAnsi="宋体" w:cs="宋体"/>
          <w:kern w:val="0"/>
          <w:sz w:val="22"/>
          <w:szCs w:val="22"/>
        </w:rPr>
        <w:t>进行公开招标，特通知贵公司（企业）前来投标。并请按招标文件的要求认真准备好投标文件，按时前来投标。</w:t>
      </w:r>
    </w:p>
    <w:tbl>
      <w:tblPr>
        <w:tblStyle w:val="41"/>
        <w:tblW w:w="1017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rPr>
              <w:t>平阳县宋埠站位水质提升与水质稳定</w:t>
            </w:r>
            <w:r>
              <w:rPr>
                <w:rFonts w:hint="eastAsia" w:ascii="宋体" w:hAnsi="宋体" w:cs="宋体"/>
                <w:sz w:val="22"/>
                <w:lang w:eastAsia="zh-CN"/>
              </w:rPr>
              <w:t>项目采购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项目编号</w:t>
            </w:r>
          </w:p>
        </w:tc>
        <w:tc>
          <w:tcPr>
            <w:tcW w:w="7776" w:type="dxa"/>
            <w:vAlign w:val="center"/>
          </w:tcPr>
          <w:p>
            <w:pPr>
              <w:rPr>
                <w:rFonts w:hint="eastAsia" w:ascii="宋体" w:hAnsi="宋体" w:eastAsia="宋体" w:cs="宋体"/>
                <w:sz w:val="22"/>
                <w:lang w:eastAsia="zh-CN"/>
              </w:rPr>
            </w:pPr>
            <w:r>
              <w:rPr>
                <w:rFonts w:hint="eastAsia" w:ascii="宋体" w:hAnsi="宋体" w:cs="宋体"/>
                <w:kern w:val="0"/>
                <w:sz w:val="22"/>
                <w:szCs w:val="22"/>
                <w:lang w:eastAsia="zh-CN"/>
              </w:rPr>
              <w:t>PYCG201023130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szCs w:val="22"/>
              </w:rPr>
            </w:pPr>
            <w:r>
              <w:rPr>
                <w:rFonts w:hint="eastAsia" w:ascii="宋体" w:hAnsi="宋体" w:cs="宋体"/>
                <w:sz w:val="22"/>
                <w:szCs w:val="22"/>
              </w:rPr>
              <w:t>采购人</w:t>
            </w:r>
          </w:p>
        </w:tc>
        <w:tc>
          <w:tcPr>
            <w:tcW w:w="7776" w:type="dxa"/>
            <w:vAlign w:val="center"/>
          </w:tcPr>
          <w:p>
            <w:pPr>
              <w:rPr>
                <w:sz w:val="22"/>
                <w:szCs w:val="22"/>
              </w:rPr>
            </w:pPr>
            <w:r>
              <w:rPr>
                <w:rFonts w:hint="eastAsia"/>
                <w:sz w:val="22"/>
                <w:szCs w:val="22"/>
              </w:rPr>
              <w:t xml:space="preserve">名称：平阳县海西镇人民政府 </w:t>
            </w:r>
          </w:p>
          <w:p>
            <w:pPr>
              <w:rPr>
                <w:sz w:val="22"/>
                <w:szCs w:val="22"/>
              </w:rPr>
            </w:pPr>
            <w:r>
              <w:rPr>
                <w:rFonts w:hint="eastAsia"/>
                <w:sz w:val="22"/>
                <w:szCs w:val="22"/>
              </w:rPr>
              <w:t>地址：滨海新区广场路1号 </w:t>
            </w:r>
          </w:p>
          <w:p>
            <w:pPr>
              <w:rPr>
                <w:sz w:val="22"/>
                <w:szCs w:val="22"/>
              </w:rPr>
            </w:pPr>
            <w:r>
              <w:rPr>
                <w:rFonts w:hint="eastAsia"/>
                <w:sz w:val="22"/>
                <w:szCs w:val="22"/>
              </w:rPr>
              <w:t>联 系 人</w:t>
            </w:r>
            <w:r>
              <w:rPr>
                <w:rFonts w:hint="eastAsia"/>
                <w:sz w:val="22"/>
                <w:szCs w:val="22"/>
                <w:lang w:eastAsia="zh-CN"/>
              </w:rPr>
              <w:t>：</w:t>
            </w:r>
            <w:r>
              <w:rPr>
                <w:rFonts w:hint="eastAsia"/>
                <w:sz w:val="22"/>
                <w:szCs w:val="22"/>
                <w:lang w:val="en-US" w:eastAsia="zh-CN"/>
              </w:rPr>
              <w:t>赵女士</w:t>
            </w:r>
            <w:r>
              <w:rPr>
                <w:rFonts w:hint="eastAsia"/>
                <w:sz w:val="22"/>
                <w:szCs w:val="22"/>
              </w:rPr>
              <w:t xml:space="preserve"> </w:t>
            </w:r>
          </w:p>
          <w:p>
            <w:pPr>
              <w:rPr>
                <w:sz w:val="22"/>
                <w:szCs w:val="22"/>
              </w:rPr>
            </w:pPr>
            <w:r>
              <w:rPr>
                <w:rFonts w:hint="eastAsia"/>
                <w:sz w:val="22"/>
                <w:szCs w:val="22"/>
              </w:rPr>
              <w:t>联系电话</w:t>
            </w:r>
            <w:r>
              <w:rPr>
                <w:rFonts w:hint="eastAsia"/>
                <w:sz w:val="22"/>
                <w:szCs w:val="22"/>
                <w:lang w:eastAsia="zh-CN"/>
              </w:rPr>
              <w:t>：</w:t>
            </w:r>
            <w:r>
              <w:rPr>
                <w:rFonts w:hint="eastAsia"/>
                <w:sz w:val="22"/>
                <w:szCs w:val="22"/>
              </w:rPr>
              <w:t xml:space="preserve">13958956423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ascii="宋体" w:hAnsi="宋体" w:cs="宋体"/>
                <w:sz w:val="22"/>
              </w:rPr>
            </w:pPr>
            <w:r>
              <w:rPr>
                <w:rFonts w:hint="eastAsia" w:ascii="宋体" w:hAnsi="宋体" w:cs="宋体"/>
                <w:sz w:val="22"/>
              </w:rPr>
              <w:t>名称：浙江亿邦建设咨询有限公司</w:t>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 xml:space="preserve">联系电话：0577-63112589、18058365298 </w:t>
            </w:r>
          </w:p>
          <w:p>
            <w:pPr>
              <w:adjustRightInd w:val="0"/>
              <w:rPr>
                <w:rFonts w:ascii="宋体" w:hAnsi="宋体" w:cs="宋体"/>
                <w:sz w:val="22"/>
              </w:rPr>
            </w:pPr>
            <w:r>
              <w:rPr>
                <w:rFonts w:hint="eastAsia" w:ascii="宋体" w:hAnsi="宋体" w:cs="宋体"/>
                <w:sz w:val="22"/>
              </w:rPr>
              <w:t>联系传真：0577-63112589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23"/>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rPr>
              <w:t>平阳县鳌江镇家电城B区4幢三楼西三间（浙江亿邦建设咨询有限公司）</w:t>
            </w:r>
            <w:r>
              <w:rPr>
                <w:rFonts w:hint="eastAsia" w:ascii="宋体" w:hAnsi="宋体" w:cs="宋体"/>
                <w:sz w:val="22"/>
              </w:rPr>
              <w:t xml:space="preserve"> </w:t>
            </w:r>
            <w:r>
              <w:rPr>
                <w:rFonts w:hint="eastAsia" w:ascii="宋体" w:hAnsi="宋体"/>
                <w:sz w:val="22"/>
                <w:lang w:eastAsia="zh-CN"/>
              </w:rPr>
              <w:t>蔡先生</w:t>
            </w:r>
            <w:r>
              <w:rPr>
                <w:rFonts w:hint="eastAsia" w:ascii="宋体" w:hAnsi="宋体"/>
                <w:sz w:val="22"/>
              </w:rPr>
              <w:t>收 联系电话：0577-63112589、18058365298</w:t>
            </w:r>
            <w:r>
              <w:rPr>
                <w:rFonts w:hint="eastAsia"/>
                <w:sz w:val="22"/>
                <w:szCs w:val="22"/>
              </w:rPr>
              <w:t>）（或电子邮件形式递交数据电文形式的“备份投标文件”。电子邮箱：214381086@qq.com））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95"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“备份投标文件”（一份）（或电子邮件形式递交数据电文形式的“备份投标文件”。电子邮箱：214381086@qq.com）；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183"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（1）开标后，采购组织机构将向各投标供应商发出“电子加密投标文件”的解密通知，各投标供应商代表应当在接到解密通知后30分钟内自行完成“电子加密投标文件”的在线解密。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具体详见采购文件，中标供应商提供的样品将由采购人保管、封存并作为履约验收的参考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r>
              <w:rPr>
                <w:rFonts w:hint="eastAsia" w:ascii="宋体" w:hAnsi="宋体" w:cs="宋体"/>
                <w:color w:val="000000"/>
                <w:sz w:val="22"/>
              </w:rPr>
              <w:t>合同签订后七个工作日内</w:t>
            </w:r>
            <w:r>
              <w:rPr>
                <w:rFonts w:hint="eastAsia" w:ascii="宋体" w:hAnsi="宋体" w:cs="宋体"/>
                <w:color w:val="000000"/>
                <w:sz w:val="22"/>
                <w:szCs w:val="22"/>
              </w:rPr>
              <w:t>需向采购人提供合同总价5％的履约保证金（可采用保函方式提交）。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投标截止时间</w:t>
            </w:r>
          </w:p>
        </w:tc>
        <w:tc>
          <w:tcPr>
            <w:tcW w:w="7776" w:type="dxa"/>
            <w:vAlign w:val="center"/>
          </w:tcPr>
          <w:p>
            <w:pPr>
              <w:rPr>
                <w:rFonts w:ascii="宋体" w:hAnsi="宋体" w:cs="宋体"/>
                <w:sz w:val="22"/>
              </w:rPr>
            </w:pPr>
            <w:r>
              <w:rPr>
                <w:rFonts w:hint="eastAsia" w:ascii="宋体" w:hAnsi="宋体" w:cs="宋体"/>
                <w:sz w:val="22"/>
                <w:szCs w:val="22"/>
                <w:shd w:val="clear" w:color="auto" w:fill="FFFFFF"/>
              </w:rPr>
              <w:t>2020年</w:t>
            </w:r>
            <w:r>
              <w:rPr>
                <w:rFonts w:hint="eastAsia" w:ascii="宋体" w:hAnsi="宋体" w:cs="宋体"/>
                <w:sz w:val="22"/>
                <w:szCs w:val="22"/>
                <w:shd w:val="clear" w:color="auto" w:fill="FFFFFF"/>
                <w:lang w:val="en-US" w:eastAsia="zh-CN"/>
              </w:rPr>
              <w:t>11</w:t>
            </w:r>
            <w:r>
              <w:rPr>
                <w:rFonts w:hint="eastAsia" w:ascii="宋体" w:hAnsi="宋体" w:cs="宋体"/>
                <w:sz w:val="22"/>
                <w:szCs w:val="22"/>
                <w:shd w:val="clear" w:color="auto" w:fill="FFFFFF"/>
              </w:rPr>
              <w:t>月</w:t>
            </w:r>
            <w:r>
              <w:rPr>
                <w:rFonts w:hint="eastAsia" w:ascii="宋体" w:hAnsi="宋体" w:cs="宋体"/>
                <w:sz w:val="22"/>
                <w:szCs w:val="22"/>
                <w:shd w:val="clear" w:color="auto" w:fill="FFFFFF"/>
                <w:lang w:val="en-US" w:eastAsia="zh-CN"/>
              </w:rPr>
              <w:t>13</w:t>
            </w:r>
            <w:r>
              <w:rPr>
                <w:rFonts w:hint="eastAsia" w:ascii="宋体" w:hAnsi="宋体" w:cs="宋体"/>
                <w:sz w:val="22"/>
                <w:szCs w:val="22"/>
                <w:shd w:val="clear" w:color="auto" w:fill="FFFFFF"/>
              </w:rPr>
              <w:t>日上午</w:t>
            </w:r>
            <w:r>
              <w:rPr>
                <w:rFonts w:hint="eastAsia" w:ascii="宋体" w:hAnsi="宋体" w:cs="宋体"/>
                <w:sz w:val="22"/>
                <w:szCs w:val="22"/>
                <w:shd w:val="clear" w:color="auto" w:fill="FFFFFF"/>
                <w:lang w:val="en-US" w:eastAsia="zh-CN"/>
              </w:rPr>
              <w:t>9:30</w:t>
            </w:r>
            <w:r>
              <w:rPr>
                <w:rFonts w:hint="eastAsia" w:ascii="宋体" w:hAnsi="宋体" w:cs="宋体"/>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开标时间</w:t>
            </w:r>
          </w:p>
          <w:p>
            <w:pPr>
              <w:jc w:val="center"/>
              <w:rPr>
                <w:rFonts w:ascii="宋体" w:hAnsi="宋体" w:cs="宋体"/>
                <w:sz w:val="22"/>
              </w:rPr>
            </w:pPr>
            <w:r>
              <w:rPr>
                <w:rFonts w:hint="eastAsia" w:ascii="宋体" w:hAnsi="宋体" w:cs="宋体"/>
                <w:sz w:val="22"/>
              </w:rPr>
              <w:t>开标地点</w:t>
            </w:r>
          </w:p>
        </w:tc>
        <w:tc>
          <w:tcPr>
            <w:tcW w:w="7776" w:type="dxa"/>
            <w:vAlign w:val="center"/>
          </w:tcPr>
          <w:p>
            <w:pPr>
              <w:rPr>
                <w:rFonts w:ascii="宋体" w:hAnsi="宋体" w:cs="宋体"/>
                <w:kern w:val="0"/>
                <w:sz w:val="22"/>
                <w:szCs w:val="22"/>
              </w:rPr>
            </w:pPr>
            <w:r>
              <w:rPr>
                <w:rFonts w:hint="eastAsia" w:ascii="宋体" w:hAnsi="宋体" w:cs="宋体"/>
                <w:kern w:val="0"/>
                <w:sz w:val="22"/>
                <w:szCs w:val="22"/>
              </w:rPr>
              <w:t>开标时间：</w:t>
            </w:r>
            <w:r>
              <w:rPr>
                <w:rFonts w:hint="eastAsia" w:ascii="宋体" w:hAnsi="宋体" w:cs="宋体"/>
                <w:sz w:val="22"/>
                <w:szCs w:val="22"/>
                <w:shd w:val="clear" w:color="auto" w:fill="FFFFFF"/>
              </w:rPr>
              <w:t>2020年</w:t>
            </w:r>
            <w:r>
              <w:rPr>
                <w:rFonts w:hint="eastAsia" w:ascii="宋体" w:hAnsi="宋体" w:cs="宋体"/>
                <w:sz w:val="22"/>
                <w:szCs w:val="22"/>
                <w:shd w:val="clear" w:color="auto" w:fill="FFFFFF"/>
                <w:lang w:val="en-US" w:eastAsia="zh-CN"/>
              </w:rPr>
              <w:t>11</w:t>
            </w:r>
            <w:r>
              <w:rPr>
                <w:rFonts w:hint="eastAsia" w:ascii="宋体" w:hAnsi="宋体" w:cs="宋体"/>
                <w:sz w:val="22"/>
                <w:szCs w:val="22"/>
                <w:shd w:val="clear" w:color="auto" w:fill="FFFFFF"/>
              </w:rPr>
              <w:t>月</w:t>
            </w:r>
            <w:r>
              <w:rPr>
                <w:rFonts w:hint="eastAsia" w:ascii="宋体" w:hAnsi="宋体" w:cs="宋体"/>
                <w:sz w:val="22"/>
                <w:szCs w:val="22"/>
                <w:shd w:val="clear" w:color="auto" w:fill="FFFFFF"/>
                <w:lang w:val="en-US" w:eastAsia="zh-CN"/>
              </w:rPr>
              <w:t>13</w:t>
            </w:r>
            <w:r>
              <w:rPr>
                <w:rFonts w:hint="eastAsia" w:ascii="宋体" w:hAnsi="宋体" w:cs="宋体"/>
                <w:sz w:val="22"/>
                <w:szCs w:val="22"/>
                <w:shd w:val="clear" w:color="auto" w:fill="FFFFFF"/>
              </w:rPr>
              <w:t>日上午</w:t>
            </w:r>
            <w:r>
              <w:rPr>
                <w:rFonts w:hint="eastAsia" w:ascii="宋体" w:hAnsi="宋体" w:cs="宋体"/>
                <w:sz w:val="22"/>
                <w:szCs w:val="22"/>
                <w:shd w:val="clear" w:color="auto" w:fill="FFFFFF"/>
                <w:lang w:val="en-US" w:eastAsia="zh-CN"/>
              </w:rPr>
              <w:t>9:30</w:t>
            </w:r>
            <w:r>
              <w:rPr>
                <w:rFonts w:hint="eastAsia" w:ascii="宋体" w:hAnsi="宋体" w:cs="宋体"/>
                <w:sz w:val="22"/>
                <w:szCs w:val="22"/>
                <w:shd w:val="clear" w:color="auto" w:fill="FFFFFF"/>
              </w:rPr>
              <w:t>正</w:t>
            </w:r>
            <w:r>
              <w:rPr>
                <w:rFonts w:hint="eastAsia" w:ascii="宋体" w:hAnsi="宋体" w:cs="宋体"/>
                <w:kern w:val="0"/>
                <w:sz w:val="22"/>
                <w:szCs w:val="22"/>
              </w:rPr>
              <w:t>(北京时间)</w:t>
            </w:r>
          </w:p>
          <w:p>
            <w:pPr>
              <w:rPr>
                <w:rFonts w:ascii="宋体" w:hAnsi="宋体" w:cs="宋体"/>
                <w:sz w:val="22"/>
              </w:rPr>
            </w:pPr>
            <w:r>
              <w:rPr>
                <w:rFonts w:hint="eastAsia" w:ascii="宋体" w:hAnsi="宋体" w:cs="宋体"/>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代理机构名称：浙江亿邦建设咨询有限公司</w:t>
            </w:r>
            <w:r>
              <w:rPr>
                <w:rFonts w:hint="eastAsia"/>
                <w:sz w:val="22"/>
                <w:szCs w:val="22"/>
              </w:rPr>
              <w:tab/>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 xml:space="preserve">联系电话：0577-63112589、18058365298 </w:t>
            </w:r>
          </w:p>
          <w:p>
            <w:pPr>
              <w:snapToGrid w:val="0"/>
              <w:spacing w:line="320" w:lineRule="exact"/>
              <w:rPr>
                <w:rFonts w:ascii="宋体" w:hAnsi="宋体" w:cs="宋体"/>
                <w:sz w:val="22"/>
              </w:rPr>
            </w:pPr>
            <w:r>
              <w:rPr>
                <w:rFonts w:hint="eastAsia" w:ascii="宋体" w:hAnsi="宋体" w:cs="宋体"/>
                <w:sz w:val="22"/>
              </w:rPr>
              <w:t>联系传真：0577-63112589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rFonts w:hint="eastAsia" w:eastAsia="宋体"/>
                <w:sz w:val="22"/>
                <w:szCs w:val="22"/>
                <w:lang w:eastAsia="zh-CN"/>
              </w:rPr>
            </w:pPr>
            <w:r>
              <w:rPr>
                <w:sz w:val="22"/>
                <w:szCs w:val="22"/>
              </w:rPr>
              <w:t>联系人：陈</w:t>
            </w:r>
            <w:r>
              <w:rPr>
                <w:rFonts w:hint="eastAsia"/>
                <w:sz w:val="22"/>
                <w:szCs w:val="22"/>
                <w:lang w:val="en-US" w:eastAsia="zh-CN"/>
              </w:rPr>
              <w:t>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2、中标供应商与采购人签订合同后，2日历天内将合同扫描件电子版发给浙江亿邦建设咨询有限公司：邮箱：</w:t>
            </w:r>
            <w:r>
              <w:rPr>
                <w:rStyle w:val="35"/>
                <w:rFonts w:hint="eastAsia"/>
                <w:color w:val="auto"/>
              </w:rPr>
              <w:t>214381086</w:t>
            </w:r>
            <w:r>
              <w:rPr>
                <w:rStyle w:val="35"/>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43"/>
        <w:rPr>
          <w:rFonts w:ascii="宋体" w:hAnsi="宋体" w:cs="宋体"/>
          <w:sz w:val="36"/>
        </w:rPr>
      </w:pPr>
    </w:p>
    <w:p>
      <w:pPr>
        <w:pStyle w:val="10"/>
        <w:sectPr>
          <w:pgSz w:w="11906" w:h="16838"/>
          <w:pgMar w:top="1440" w:right="1080" w:bottom="1440" w:left="1080" w:header="851" w:footer="992" w:gutter="0"/>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3"/>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sectPr>
          <w:pgSz w:w="11906" w:h="16838"/>
          <w:pgMar w:top="1440" w:right="1080" w:bottom="1440" w:left="1080" w:header="851" w:footer="992" w:gutter="0"/>
          <w:cols w:space="720" w:num="1"/>
          <w:docGrid w:linePitch="312" w:charSpace="0"/>
        </w:sectPr>
      </w:pPr>
    </w:p>
    <w:p>
      <w:pPr>
        <w:pStyle w:val="2"/>
        <w:spacing w:before="0" w:after="0"/>
        <w:rPr>
          <w:rFonts w:ascii="宋体" w:hAnsi="宋体" w:cs="宋体"/>
          <w:lang w:val="zh-CN"/>
        </w:rPr>
      </w:pPr>
      <w:r>
        <w:rPr>
          <w:rFonts w:hint="eastAsia" w:ascii="宋体" w:hAnsi="宋体" w:cs="宋体"/>
          <w:lang w:val="zh-CN"/>
        </w:rPr>
        <w:t>第一部分     项目简介</w:t>
      </w:r>
    </w:p>
    <w:p>
      <w:pPr>
        <w:pStyle w:val="44"/>
        <w:spacing w:line="460" w:lineRule="exact"/>
        <w:ind w:firstLine="0" w:firstLineChars="0"/>
        <w:rPr>
          <w:rFonts w:ascii="宋体" w:hAnsi="宋体" w:cs="宋体"/>
          <w:sz w:val="22"/>
          <w:szCs w:val="22"/>
        </w:rPr>
      </w:pPr>
      <w:bookmarkStart w:id="0" w:name="_Toc300252050"/>
      <w:r>
        <w:rPr>
          <w:rFonts w:hint="eastAsia" w:ascii="宋体" w:hAnsi="宋体" w:cs="宋体"/>
          <w:sz w:val="22"/>
          <w:szCs w:val="22"/>
        </w:rPr>
        <w:t>一、</w:t>
      </w:r>
      <w:bookmarkEnd w:id="0"/>
      <w:r>
        <w:rPr>
          <w:rFonts w:hint="eastAsia" w:ascii="宋体" w:hAnsi="宋体" w:cs="宋体"/>
          <w:sz w:val="22"/>
          <w:szCs w:val="22"/>
        </w:rPr>
        <w:t>概况</w:t>
      </w:r>
    </w:p>
    <w:p>
      <w:pPr>
        <w:snapToGrid w:val="0"/>
        <w:spacing w:line="460" w:lineRule="exact"/>
        <w:ind w:firstLine="541" w:firstLineChars="246"/>
        <w:rPr>
          <w:rFonts w:ascii="宋体" w:hAnsi="宋体" w:cs="宋体"/>
          <w:bCs/>
          <w:sz w:val="22"/>
          <w:szCs w:val="22"/>
        </w:rPr>
      </w:pPr>
      <w:r>
        <w:rPr>
          <w:rFonts w:hint="eastAsia" w:ascii="宋体" w:hAnsi="宋体" w:cs="宋体"/>
          <w:sz w:val="22"/>
          <w:szCs w:val="22"/>
        </w:rPr>
        <w:t>浙江亿邦建设咨询有限公司受</w:t>
      </w:r>
      <w:r>
        <w:rPr>
          <w:rFonts w:hint="eastAsia" w:ascii="宋体" w:hAnsi="宋体" w:cs="宋体"/>
          <w:kern w:val="0"/>
          <w:sz w:val="22"/>
          <w:szCs w:val="22"/>
        </w:rPr>
        <w:t>平阳县海西镇人民政府</w:t>
      </w:r>
      <w:r>
        <w:rPr>
          <w:rFonts w:hint="eastAsia" w:ascii="宋体" w:hAnsi="宋体" w:cs="宋体"/>
          <w:bCs/>
          <w:sz w:val="22"/>
          <w:szCs w:val="22"/>
        </w:rPr>
        <w:t>委托，</w:t>
      </w:r>
      <w:r>
        <w:rPr>
          <w:rFonts w:hint="eastAsia" w:ascii="宋体" w:hAnsi="宋体" w:cs="宋体"/>
          <w:sz w:val="22"/>
          <w:szCs w:val="22"/>
        </w:rPr>
        <w:t>以公开招标方式采购</w:t>
      </w:r>
      <w:r>
        <w:rPr>
          <w:rFonts w:hint="eastAsia" w:ascii="宋体" w:hAnsi="宋体" w:cs="宋体"/>
          <w:kern w:val="0"/>
          <w:sz w:val="22"/>
          <w:szCs w:val="22"/>
        </w:rPr>
        <w:t>平阳县宋埠站位水质提升与水质稳定</w:t>
      </w:r>
      <w:r>
        <w:rPr>
          <w:rFonts w:hint="eastAsia" w:ascii="宋体" w:hAnsi="宋体" w:cs="宋体"/>
          <w:kern w:val="0"/>
          <w:sz w:val="22"/>
          <w:szCs w:val="22"/>
          <w:lang w:eastAsia="zh-CN"/>
        </w:rPr>
        <w:t>项目采购</w:t>
      </w:r>
      <w:r>
        <w:rPr>
          <w:rFonts w:hint="eastAsia" w:ascii="宋体" w:hAnsi="宋体" w:cs="宋体"/>
          <w:bCs/>
          <w:sz w:val="22"/>
          <w:szCs w:val="22"/>
        </w:rPr>
        <w:t>，</w:t>
      </w:r>
      <w:r>
        <w:rPr>
          <w:rFonts w:hint="eastAsia" w:ascii="宋体" w:hAnsi="宋体" w:cs="宋体"/>
          <w:sz w:val="22"/>
          <w:szCs w:val="22"/>
        </w:rPr>
        <w:t>本次招标资金已经落实。</w:t>
      </w:r>
    </w:p>
    <w:p>
      <w:pPr>
        <w:pStyle w:val="44"/>
        <w:spacing w:line="460" w:lineRule="exact"/>
        <w:ind w:firstLine="440"/>
        <w:rPr>
          <w:rFonts w:ascii="宋体" w:hAnsi="宋体" w:cs="宋体"/>
          <w:sz w:val="22"/>
          <w:szCs w:val="22"/>
        </w:rPr>
      </w:pPr>
      <w:r>
        <w:rPr>
          <w:rFonts w:hint="eastAsia" w:ascii="宋体" w:hAnsi="宋体" w:cs="宋体"/>
          <w:sz w:val="22"/>
          <w:szCs w:val="22"/>
        </w:rPr>
        <w:t>我们热情欢迎有关公司（企业）前来进行投标。</w:t>
      </w:r>
    </w:p>
    <w:p>
      <w:pPr>
        <w:snapToGrid w:val="0"/>
        <w:spacing w:line="460" w:lineRule="exact"/>
        <w:rPr>
          <w:rFonts w:ascii="宋体" w:hAnsi="宋体" w:cs="宋体"/>
          <w:sz w:val="22"/>
          <w:szCs w:val="22"/>
        </w:rPr>
      </w:pPr>
    </w:p>
    <w:p>
      <w:pPr>
        <w:numPr>
          <w:ilvl w:val="0"/>
          <w:numId w:val="4"/>
        </w:numPr>
        <w:autoSpaceDE w:val="0"/>
        <w:autoSpaceDN w:val="0"/>
        <w:adjustRightInd w:val="0"/>
        <w:snapToGrid w:val="0"/>
        <w:spacing w:line="460" w:lineRule="exact"/>
        <w:ind w:firstLine="722"/>
        <w:jc w:val="center"/>
        <w:textAlignment w:val="bottom"/>
        <w:rPr>
          <w:rFonts w:ascii="宋体" w:hAnsi="宋体" w:cs="宋体"/>
          <w:b/>
          <w:sz w:val="36"/>
        </w:rPr>
      </w:pPr>
      <w:r>
        <w:rPr>
          <w:rFonts w:hint="eastAsia" w:ascii="宋体" w:hAnsi="宋体" w:cs="宋体"/>
          <w:b/>
          <w:sz w:val="36"/>
        </w:rPr>
        <w:t>招标内容及技术要求</w:t>
      </w:r>
      <w:bookmarkStart w:id="1" w:name="_Toc142902564"/>
    </w:p>
    <w:bookmarkEnd w:id="1"/>
    <w:p>
      <w:pPr>
        <w:autoSpaceDE w:val="0"/>
        <w:autoSpaceDN w:val="0"/>
        <w:adjustRightInd w:val="0"/>
        <w:snapToGrid w:val="0"/>
        <w:spacing w:line="460" w:lineRule="exact"/>
        <w:outlineLvl w:val="0"/>
        <w:rPr>
          <w:rFonts w:ascii="宋体" w:hAnsi="宋体"/>
          <w:b/>
          <w:sz w:val="22"/>
          <w:szCs w:val="22"/>
        </w:rPr>
      </w:pPr>
      <w:r>
        <w:rPr>
          <w:rFonts w:hint="eastAsia" w:ascii="宋体" w:hAnsi="宋体"/>
          <w:b/>
          <w:sz w:val="22"/>
          <w:szCs w:val="22"/>
        </w:rPr>
        <w:t>一、总则</w:t>
      </w:r>
    </w:p>
    <w:p>
      <w:pPr>
        <w:pStyle w:val="16"/>
        <w:adjustRightInd w:val="0"/>
        <w:snapToGrid w:val="0"/>
        <w:spacing w:line="460" w:lineRule="exact"/>
        <w:ind w:firstLine="482"/>
        <w:rPr>
          <w:rFonts w:hAnsi="宋体"/>
          <w:sz w:val="22"/>
          <w:szCs w:val="22"/>
        </w:rPr>
      </w:pPr>
      <w:r>
        <w:rPr>
          <w:rFonts w:hint="eastAsia" w:hAnsi="宋体"/>
          <w:sz w:val="22"/>
          <w:szCs w:val="22"/>
        </w:rPr>
        <w:t>1.1本技术规范要求提出的是最低限度的基本技术要求，并未对所有技术细节作出规定，供应商应提供符合本技术要求和国家标准、行业标准的优质产品。</w:t>
      </w:r>
    </w:p>
    <w:p>
      <w:pPr>
        <w:pStyle w:val="16"/>
        <w:adjustRightInd w:val="0"/>
        <w:snapToGrid w:val="0"/>
        <w:spacing w:line="460" w:lineRule="exact"/>
        <w:ind w:firstLine="482"/>
        <w:rPr>
          <w:rFonts w:hAnsi="宋体"/>
          <w:sz w:val="22"/>
          <w:szCs w:val="22"/>
        </w:rPr>
      </w:pPr>
      <w:r>
        <w:rPr>
          <w:rFonts w:hint="eastAsia" w:hAnsi="宋体"/>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spacing w:line="400" w:lineRule="exact"/>
        <w:rPr>
          <w:rFonts w:ascii="宋体" w:hAnsi="宋体"/>
          <w:b/>
          <w:bCs/>
          <w:sz w:val="22"/>
          <w:szCs w:val="22"/>
        </w:rPr>
      </w:pPr>
      <w:r>
        <w:rPr>
          <w:rFonts w:hint="eastAsia" w:ascii="宋体" w:hAnsi="宋体"/>
          <w:b/>
          <w:bCs/>
          <w:sz w:val="22"/>
          <w:szCs w:val="22"/>
        </w:rPr>
        <w:t>二、采购原则及规范</w:t>
      </w:r>
    </w:p>
    <w:p>
      <w:pPr>
        <w:spacing w:line="400" w:lineRule="exact"/>
        <w:ind w:firstLine="440" w:firstLineChars="200"/>
        <w:rPr>
          <w:rFonts w:ascii="宋体" w:hAnsi="宋体"/>
          <w:sz w:val="22"/>
          <w:szCs w:val="22"/>
        </w:rPr>
      </w:pPr>
      <w:r>
        <w:rPr>
          <w:rFonts w:hint="eastAsia" w:ascii="宋体" w:hAnsi="宋体"/>
          <w:sz w:val="22"/>
          <w:szCs w:val="22"/>
        </w:rPr>
        <w:t>项目实施必须依据国家有关的设计规范、标准。</w:t>
      </w:r>
    </w:p>
    <w:p>
      <w:pPr>
        <w:spacing w:line="400" w:lineRule="exact"/>
        <w:ind w:firstLine="442" w:firstLineChars="200"/>
        <w:rPr>
          <w:rFonts w:ascii="宋体" w:hAnsi="宋体"/>
          <w:b/>
          <w:bCs/>
          <w:sz w:val="22"/>
          <w:szCs w:val="22"/>
        </w:rPr>
      </w:pPr>
      <w:r>
        <w:rPr>
          <w:rFonts w:hint="eastAsia" w:ascii="宋体" w:hAnsi="宋体"/>
          <w:b/>
          <w:bCs/>
          <w:sz w:val="22"/>
          <w:szCs w:val="22"/>
        </w:rPr>
        <w:t>所涉及的施工标准、规范，验收标准、规范，应符合国家有关条例及规范，如有新的标准应采纳新标准，如是国外相应标准应得到招标人认可，这些标准包括（不仅限于以下）：</w:t>
      </w:r>
    </w:p>
    <w:p>
      <w:pPr>
        <w:spacing w:line="400" w:lineRule="exact"/>
        <w:ind w:firstLine="440" w:firstLineChars="200"/>
        <w:rPr>
          <w:rFonts w:ascii="宋体" w:hAnsi="宋体"/>
          <w:sz w:val="22"/>
          <w:szCs w:val="22"/>
        </w:rPr>
      </w:pPr>
      <w:r>
        <w:rPr>
          <w:rFonts w:hint="eastAsia" w:ascii="宋体" w:hAnsi="宋体"/>
          <w:sz w:val="22"/>
          <w:szCs w:val="22"/>
        </w:rPr>
        <w:t>《中华人民共和国环境保护法》（</w:t>
      </w:r>
      <w:r>
        <w:rPr>
          <w:rFonts w:ascii="宋体" w:hAnsi="宋体"/>
          <w:sz w:val="22"/>
          <w:szCs w:val="22"/>
        </w:rPr>
        <w:t>2014年4月24日修订</w:t>
      </w:r>
      <w:r>
        <w:rPr>
          <w:rFonts w:hint="eastAsia" w:ascii="宋体" w:hAnsi="宋体"/>
          <w:sz w:val="22"/>
          <w:szCs w:val="22"/>
        </w:rPr>
        <w:t>）</w:t>
      </w:r>
    </w:p>
    <w:p>
      <w:pPr>
        <w:spacing w:line="400" w:lineRule="exact"/>
        <w:ind w:firstLine="440" w:firstLineChars="200"/>
        <w:rPr>
          <w:rFonts w:ascii="宋体" w:hAnsi="宋体"/>
          <w:sz w:val="22"/>
          <w:szCs w:val="22"/>
        </w:rPr>
      </w:pPr>
      <w:r>
        <w:rPr>
          <w:rFonts w:hint="eastAsia" w:ascii="宋体" w:hAnsi="宋体"/>
          <w:sz w:val="22"/>
          <w:szCs w:val="22"/>
        </w:rPr>
        <w:t>《中华人民共和国水污染防治法》（</w:t>
      </w:r>
      <w:r>
        <w:rPr>
          <w:rFonts w:ascii="宋体" w:hAnsi="宋体"/>
          <w:sz w:val="22"/>
          <w:szCs w:val="22"/>
        </w:rPr>
        <w:t>2017年6月27日</w:t>
      </w:r>
      <w:r>
        <w:rPr>
          <w:rFonts w:hint="eastAsia" w:ascii="宋体" w:hAnsi="宋体"/>
          <w:sz w:val="22"/>
          <w:szCs w:val="22"/>
        </w:rPr>
        <w:t>修订）</w:t>
      </w:r>
    </w:p>
    <w:p>
      <w:pPr>
        <w:spacing w:line="400" w:lineRule="exact"/>
        <w:ind w:firstLine="440" w:firstLineChars="200"/>
        <w:rPr>
          <w:rFonts w:ascii="宋体" w:hAnsi="宋体"/>
          <w:sz w:val="22"/>
          <w:szCs w:val="22"/>
        </w:rPr>
      </w:pPr>
      <w:r>
        <w:rPr>
          <w:rFonts w:hint="eastAsia" w:ascii="宋体" w:hAnsi="宋体"/>
          <w:sz w:val="22"/>
          <w:szCs w:val="22"/>
        </w:rPr>
        <w:t>《中华人民共和国水法》（</w:t>
      </w:r>
      <w:r>
        <w:rPr>
          <w:rFonts w:ascii="宋体" w:hAnsi="宋体"/>
          <w:sz w:val="22"/>
          <w:szCs w:val="22"/>
        </w:rPr>
        <w:t>2016年7月2日</w:t>
      </w:r>
      <w:r>
        <w:rPr>
          <w:rFonts w:hint="eastAsia" w:ascii="宋体" w:hAnsi="宋体"/>
          <w:sz w:val="22"/>
          <w:szCs w:val="22"/>
        </w:rPr>
        <w:t>修订）</w:t>
      </w:r>
    </w:p>
    <w:p>
      <w:pPr>
        <w:spacing w:line="400" w:lineRule="exact"/>
        <w:ind w:firstLine="440" w:firstLineChars="200"/>
        <w:rPr>
          <w:rFonts w:ascii="宋体" w:hAnsi="宋体"/>
          <w:sz w:val="22"/>
          <w:szCs w:val="22"/>
        </w:rPr>
      </w:pPr>
      <w:r>
        <w:rPr>
          <w:rFonts w:hint="eastAsia" w:ascii="宋体" w:hAnsi="宋体"/>
          <w:sz w:val="22"/>
          <w:szCs w:val="22"/>
        </w:rPr>
        <w:t>《中华人民共和国防洪法》（</w:t>
      </w:r>
      <w:r>
        <w:rPr>
          <w:rFonts w:ascii="宋体" w:hAnsi="宋体"/>
          <w:sz w:val="22"/>
          <w:szCs w:val="22"/>
        </w:rPr>
        <w:t>2016年7月2日</w:t>
      </w:r>
      <w:r>
        <w:rPr>
          <w:rFonts w:hint="eastAsia" w:ascii="宋体" w:hAnsi="宋体"/>
          <w:sz w:val="22"/>
          <w:szCs w:val="22"/>
        </w:rPr>
        <w:t>修订）</w:t>
      </w:r>
    </w:p>
    <w:p>
      <w:pPr>
        <w:spacing w:line="400" w:lineRule="exact"/>
        <w:ind w:firstLine="440" w:firstLineChars="200"/>
        <w:rPr>
          <w:rFonts w:ascii="宋体" w:hAnsi="宋体"/>
          <w:sz w:val="22"/>
          <w:szCs w:val="22"/>
        </w:rPr>
      </w:pPr>
      <w:r>
        <w:rPr>
          <w:rFonts w:hint="eastAsia" w:ascii="宋体" w:hAnsi="宋体"/>
          <w:sz w:val="22"/>
          <w:szCs w:val="22"/>
        </w:rPr>
        <w:t>《全国生态环境保护纲要》（国发[2000]38号）</w:t>
      </w:r>
    </w:p>
    <w:p>
      <w:pPr>
        <w:spacing w:line="400" w:lineRule="exact"/>
        <w:ind w:firstLine="440" w:firstLineChars="200"/>
        <w:rPr>
          <w:rFonts w:ascii="宋体" w:hAnsi="宋体"/>
          <w:sz w:val="22"/>
          <w:szCs w:val="22"/>
        </w:rPr>
      </w:pPr>
      <w:r>
        <w:rPr>
          <w:rFonts w:hint="eastAsia" w:ascii="宋体" w:hAnsi="宋体"/>
          <w:sz w:val="22"/>
          <w:szCs w:val="22"/>
        </w:rPr>
        <w:t>《地表水环境质量标准》（GB3838-2002）</w:t>
      </w:r>
    </w:p>
    <w:p>
      <w:pPr>
        <w:spacing w:line="400" w:lineRule="exact"/>
        <w:ind w:firstLine="440" w:firstLineChars="200"/>
        <w:rPr>
          <w:rFonts w:ascii="宋体" w:hAnsi="宋体"/>
          <w:sz w:val="22"/>
          <w:szCs w:val="22"/>
        </w:rPr>
      </w:pPr>
      <w:r>
        <w:rPr>
          <w:rFonts w:hint="eastAsia" w:ascii="宋体" w:hAnsi="宋体"/>
          <w:sz w:val="22"/>
          <w:szCs w:val="22"/>
        </w:rPr>
        <w:t>《城镇污水处理厂污染物排放标准》（GB18918-2002）</w:t>
      </w:r>
    </w:p>
    <w:p>
      <w:pPr>
        <w:spacing w:line="400" w:lineRule="exact"/>
        <w:ind w:firstLine="440" w:firstLineChars="200"/>
        <w:rPr>
          <w:rFonts w:ascii="宋体" w:hAnsi="宋体"/>
          <w:sz w:val="22"/>
          <w:szCs w:val="22"/>
        </w:rPr>
      </w:pPr>
      <w:r>
        <w:rPr>
          <w:rFonts w:hint="eastAsia" w:ascii="宋体" w:hAnsi="宋体"/>
          <w:sz w:val="22"/>
          <w:szCs w:val="22"/>
        </w:rPr>
        <w:t>《污水再利用景观环境用水水质标准》（GB/T18921-2002）</w:t>
      </w:r>
    </w:p>
    <w:p>
      <w:pPr>
        <w:spacing w:line="400" w:lineRule="exact"/>
        <w:ind w:firstLine="440" w:firstLineChars="200"/>
        <w:rPr>
          <w:rFonts w:ascii="宋体" w:hAnsi="宋体"/>
          <w:sz w:val="22"/>
          <w:szCs w:val="22"/>
        </w:rPr>
      </w:pPr>
      <w:r>
        <w:rPr>
          <w:rFonts w:hint="eastAsia" w:ascii="宋体" w:hAnsi="宋体"/>
          <w:sz w:val="22"/>
          <w:szCs w:val="22"/>
        </w:rPr>
        <w:t>《城市环境综合整治规划编制技术大纲》（国家环保局1993年）</w:t>
      </w:r>
    </w:p>
    <w:p>
      <w:pPr>
        <w:spacing w:line="400" w:lineRule="exact"/>
        <w:ind w:firstLine="440" w:firstLineChars="200"/>
        <w:rPr>
          <w:rFonts w:ascii="宋体" w:hAnsi="宋体"/>
          <w:sz w:val="22"/>
          <w:szCs w:val="22"/>
        </w:rPr>
      </w:pPr>
      <w:r>
        <w:rPr>
          <w:rFonts w:hint="eastAsia" w:ascii="宋体" w:hAnsi="宋体"/>
          <w:sz w:val="22"/>
          <w:szCs w:val="22"/>
        </w:rPr>
        <w:t>《关于生态市、生态县(市,区)、生态镇(乡)建设与规划编制工作的指导意见》(浙生态办函[2003]7号)</w:t>
      </w:r>
    </w:p>
    <w:p>
      <w:pPr>
        <w:spacing w:line="400" w:lineRule="exact"/>
        <w:ind w:firstLine="440" w:firstLineChars="200"/>
        <w:rPr>
          <w:rFonts w:ascii="宋体" w:hAnsi="宋体"/>
          <w:sz w:val="22"/>
          <w:szCs w:val="22"/>
        </w:rPr>
      </w:pPr>
      <w:r>
        <w:rPr>
          <w:rFonts w:hint="eastAsia" w:ascii="宋体" w:hAnsi="宋体"/>
          <w:sz w:val="22"/>
          <w:szCs w:val="22"/>
        </w:rPr>
        <w:t>《温州生态市建设规划》</w:t>
      </w:r>
    </w:p>
    <w:p>
      <w:pPr>
        <w:spacing w:line="400" w:lineRule="exact"/>
        <w:ind w:firstLine="440" w:firstLineChars="200"/>
        <w:rPr>
          <w:rFonts w:ascii="宋体" w:hAnsi="宋体"/>
          <w:sz w:val="22"/>
          <w:szCs w:val="22"/>
        </w:rPr>
      </w:pPr>
      <w:r>
        <w:rPr>
          <w:rFonts w:hint="eastAsia" w:ascii="宋体" w:hAnsi="宋体"/>
          <w:sz w:val="22"/>
          <w:szCs w:val="22"/>
        </w:rPr>
        <w:t>《温州市总体规划》（2000-2020年）</w:t>
      </w:r>
    </w:p>
    <w:p>
      <w:pPr>
        <w:spacing w:line="400" w:lineRule="exact"/>
        <w:ind w:firstLine="440" w:firstLineChars="200"/>
        <w:rPr>
          <w:rFonts w:ascii="宋体" w:hAnsi="宋体"/>
          <w:sz w:val="22"/>
          <w:szCs w:val="22"/>
        </w:rPr>
      </w:pPr>
      <w:r>
        <w:rPr>
          <w:rFonts w:hint="eastAsia" w:ascii="宋体" w:hAnsi="宋体"/>
          <w:sz w:val="22"/>
          <w:szCs w:val="22"/>
        </w:rPr>
        <w:t>《温州市城市污水专业规划（2005-2020）》（2005年4月）其他标准</w:t>
      </w:r>
    </w:p>
    <w:p>
      <w:pPr>
        <w:spacing w:line="400" w:lineRule="exact"/>
        <w:ind w:firstLine="440" w:firstLineChars="200"/>
        <w:rPr>
          <w:rFonts w:ascii="宋体" w:hAnsi="宋体"/>
          <w:sz w:val="22"/>
          <w:szCs w:val="22"/>
        </w:rPr>
      </w:pPr>
      <w:r>
        <w:rPr>
          <w:rFonts w:hint="eastAsia" w:ascii="宋体" w:hAnsi="宋体"/>
          <w:sz w:val="22"/>
          <w:szCs w:val="22"/>
        </w:rPr>
        <w:t>上述技术资信标准和规范如果有不足之处或者未能达到国际最新标准的时候，投标方应符合最新版本的国际和国家的标准、规范，并提供采用的国家和国际标准、规范以及所采用的版本的有关技术资料。</w:t>
      </w:r>
    </w:p>
    <w:p>
      <w:pPr>
        <w:numPr>
          <w:ilvl w:val="0"/>
          <w:numId w:val="5"/>
        </w:numPr>
        <w:spacing w:line="400" w:lineRule="exact"/>
        <w:rPr>
          <w:rFonts w:ascii="宋体" w:hAnsi="宋体"/>
          <w:b/>
          <w:bCs/>
          <w:sz w:val="22"/>
          <w:szCs w:val="22"/>
        </w:rPr>
      </w:pPr>
      <w:r>
        <w:rPr>
          <w:rFonts w:hint="eastAsia" w:ascii="宋体" w:hAnsi="宋体"/>
          <w:b/>
          <w:bCs/>
          <w:sz w:val="22"/>
          <w:szCs w:val="22"/>
        </w:rPr>
        <w:t>服务清单</w:t>
      </w:r>
    </w:p>
    <w:tbl>
      <w:tblPr>
        <w:tblStyle w:val="41"/>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6078"/>
        <w:gridCol w:w="2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2" w:hRule="atLeast"/>
        </w:trPr>
        <w:tc>
          <w:tcPr>
            <w:tcW w:w="1208" w:type="dxa"/>
            <w:tcBorders>
              <w:bottom w:val="single" w:color="auto" w:sz="4" w:space="0"/>
            </w:tcBorders>
            <w:shd w:val="pct10" w:color="auto" w:fill="FFFFFF"/>
            <w:vAlign w:val="center"/>
          </w:tcPr>
          <w:p>
            <w:pPr>
              <w:spacing w:line="400" w:lineRule="exact"/>
              <w:jc w:val="center"/>
              <w:rPr>
                <w:rFonts w:ascii="宋体" w:hAnsi="宋体"/>
                <w:b/>
                <w:sz w:val="22"/>
                <w:szCs w:val="22"/>
              </w:rPr>
            </w:pPr>
            <w:r>
              <w:rPr>
                <w:rFonts w:hint="eastAsia" w:ascii="宋体" w:hAnsi="宋体"/>
                <w:b/>
                <w:sz w:val="22"/>
                <w:szCs w:val="22"/>
              </w:rPr>
              <w:t>序号</w:t>
            </w:r>
          </w:p>
        </w:tc>
        <w:tc>
          <w:tcPr>
            <w:tcW w:w="6078" w:type="dxa"/>
            <w:tcBorders>
              <w:bottom w:val="single" w:color="auto" w:sz="4" w:space="0"/>
            </w:tcBorders>
            <w:shd w:val="pct10" w:color="auto" w:fill="FFFFFF"/>
            <w:vAlign w:val="center"/>
          </w:tcPr>
          <w:p>
            <w:pPr>
              <w:spacing w:line="400" w:lineRule="exact"/>
              <w:jc w:val="center"/>
              <w:rPr>
                <w:rFonts w:ascii="宋体" w:hAnsi="宋体"/>
                <w:b/>
                <w:sz w:val="22"/>
                <w:szCs w:val="22"/>
              </w:rPr>
            </w:pPr>
            <w:r>
              <w:rPr>
                <w:rFonts w:hint="eastAsia" w:ascii="宋体" w:hAnsi="宋体"/>
                <w:b/>
                <w:sz w:val="22"/>
                <w:szCs w:val="22"/>
              </w:rPr>
              <w:t>内容描述</w:t>
            </w:r>
          </w:p>
        </w:tc>
        <w:tc>
          <w:tcPr>
            <w:tcW w:w="2568" w:type="dxa"/>
            <w:tcBorders>
              <w:bottom w:val="single" w:color="auto" w:sz="4" w:space="0"/>
            </w:tcBorders>
            <w:shd w:val="pct10" w:color="auto" w:fill="FFFFFF"/>
            <w:vAlign w:val="center"/>
          </w:tcPr>
          <w:p>
            <w:pPr>
              <w:spacing w:line="400" w:lineRule="exact"/>
              <w:jc w:val="center"/>
              <w:rPr>
                <w:rFonts w:ascii="宋体" w:hAnsi="宋体"/>
                <w:b/>
                <w:sz w:val="22"/>
                <w:szCs w:val="22"/>
              </w:rPr>
            </w:pPr>
            <w:r>
              <w:rPr>
                <w:rFonts w:hint="eastAsia" w:ascii="宋体" w:hAnsi="宋体"/>
                <w:b/>
                <w:sz w:val="22"/>
                <w:szCs w:val="22"/>
              </w:rPr>
              <w:t>项目范围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trPr>
        <w:tc>
          <w:tcPr>
            <w:tcW w:w="1208" w:type="dxa"/>
            <w:vAlign w:val="center"/>
          </w:tcPr>
          <w:p>
            <w:pPr>
              <w:spacing w:line="400" w:lineRule="exact"/>
              <w:jc w:val="center"/>
              <w:rPr>
                <w:rFonts w:ascii="宋体" w:hAnsi="宋体"/>
                <w:sz w:val="22"/>
                <w:szCs w:val="22"/>
              </w:rPr>
            </w:pPr>
            <w:r>
              <w:rPr>
                <w:rFonts w:hint="eastAsia" w:ascii="宋体" w:hAnsi="宋体"/>
                <w:sz w:val="22"/>
                <w:szCs w:val="22"/>
              </w:rPr>
              <w:t>一</w:t>
            </w:r>
          </w:p>
        </w:tc>
        <w:tc>
          <w:tcPr>
            <w:tcW w:w="6078" w:type="dxa"/>
            <w:vAlign w:val="center"/>
          </w:tcPr>
          <w:p>
            <w:pPr>
              <w:spacing w:line="400" w:lineRule="exact"/>
              <w:rPr>
                <w:rFonts w:ascii="宋体" w:hAnsi="宋体"/>
                <w:sz w:val="22"/>
                <w:szCs w:val="22"/>
              </w:rPr>
            </w:pPr>
            <w:r>
              <w:rPr>
                <w:rFonts w:hint="eastAsia" w:ascii="宋体" w:hAnsi="宋体"/>
                <w:sz w:val="22"/>
                <w:szCs w:val="22"/>
              </w:rPr>
              <w:t>宋埠站位位于平宋塘河，属海西镇片区管辖治理范围。宋埠站位治理段全长 1020 米，从上游支流岔口桥开始至宋埠中学旁支流。本项目</w:t>
            </w:r>
            <w:r>
              <w:rPr>
                <w:rFonts w:hint="eastAsia"/>
                <w:sz w:val="22"/>
                <w:szCs w:val="22"/>
              </w:rPr>
              <w:t>须采用污染源生态拦截系统、立体生态修复系统等生态修复技术手段对原治理段进行治理维护，改善河道污染水体水质，在河道水质提升的基础上，创建生态宜人的水体景观，营造良好的水体生态环境，逐步恢复水体的自净能力，最终真正实现河道水体生态修复</w:t>
            </w:r>
            <w:r>
              <w:rPr>
                <w:rFonts w:hint="eastAsia" w:ascii="宋体" w:hAnsi="宋体"/>
                <w:sz w:val="22"/>
                <w:szCs w:val="22"/>
              </w:rPr>
              <w:t>。</w:t>
            </w:r>
          </w:p>
        </w:tc>
        <w:tc>
          <w:tcPr>
            <w:tcW w:w="2568" w:type="dxa"/>
            <w:vAlign w:val="center"/>
          </w:tcPr>
          <w:p>
            <w:pPr>
              <w:spacing w:line="400" w:lineRule="exact"/>
              <w:jc w:val="center"/>
              <w:rPr>
                <w:rFonts w:ascii="宋体" w:hAnsi="宋体"/>
                <w:sz w:val="22"/>
                <w:szCs w:val="22"/>
              </w:rPr>
            </w:pPr>
            <w:r>
              <w:rPr>
                <w:rFonts w:hint="eastAsia" w:ascii="宋体" w:hAnsi="宋体"/>
                <w:sz w:val="22"/>
                <w:szCs w:val="22"/>
              </w:rPr>
              <w:t>以宋埠站位为中心，从上游支流岔口桥开始至宋埠中学旁支流，全长1020米，河宽8-30米不等，规模水域面积约为20000平方米。</w:t>
            </w:r>
          </w:p>
        </w:tc>
      </w:tr>
    </w:tbl>
    <w:p>
      <w:pPr>
        <w:spacing w:line="400" w:lineRule="exact"/>
        <w:rPr>
          <w:rFonts w:ascii="宋体" w:hAnsi="宋体"/>
          <w:b/>
          <w:bCs/>
          <w:sz w:val="22"/>
          <w:szCs w:val="22"/>
        </w:rPr>
      </w:pPr>
      <w:r>
        <w:rPr>
          <w:rFonts w:hint="eastAsia" w:ascii="宋体" w:hAnsi="宋体"/>
          <w:b/>
          <w:bCs/>
          <w:sz w:val="22"/>
          <w:szCs w:val="22"/>
        </w:rPr>
        <w:t>治理范围参考图（该图为仅供范围参考，实际以采购人要求和现场勘测为准）：</w:t>
      </w:r>
    </w:p>
    <w:p>
      <w:pPr>
        <w:pStyle w:val="2"/>
        <w:spacing w:line="240" w:lineRule="auto"/>
      </w:pPr>
      <w:r>
        <w:drawing>
          <wp:inline distT="0" distB="0" distL="114300" distR="114300">
            <wp:extent cx="5713095" cy="2046605"/>
            <wp:effectExtent l="0" t="0" r="1905" b="10795"/>
            <wp:docPr id="3" name="图片 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
                    <pic:cNvPicPr>
                      <a:picLocks noChangeAspect="1"/>
                    </pic:cNvPicPr>
                  </pic:nvPicPr>
                  <pic:blipFill>
                    <a:blip r:embed="rId13"/>
                    <a:stretch>
                      <a:fillRect/>
                    </a:stretch>
                  </pic:blipFill>
                  <pic:spPr>
                    <a:xfrm>
                      <a:off x="0" y="0"/>
                      <a:ext cx="5713095" cy="2046605"/>
                    </a:xfrm>
                    <a:prstGeom prst="rect">
                      <a:avLst/>
                    </a:prstGeom>
                  </pic:spPr>
                </pic:pic>
              </a:graphicData>
            </a:graphic>
          </wp:inline>
        </w:drawing>
      </w:r>
    </w:p>
    <w:p>
      <w:pPr>
        <w:spacing w:line="400" w:lineRule="exact"/>
        <w:rPr>
          <w:rFonts w:ascii="宋体" w:hAnsi="宋体"/>
          <w:b/>
          <w:bCs/>
          <w:sz w:val="22"/>
          <w:szCs w:val="22"/>
        </w:rPr>
      </w:pPr>
      <w:r>
        <w:rPr>
          <w:rFonts w:hint="eastAsia" w:ascii="宋体" w:hAnsi="宋体"/>
          <w:b/>
          <w:bCs/>
          <w:sz w:val="22"/>
          <w:szCs w:val="22"/>
        </w:rPr>
        <w:t>四、项目目标</w:t>
      </w:r>
    </w:p>
    <w:p>
      <w:pPr>
        <w:spacing w:line="400" w:lineRule="exact"/>
        <w:ind w:left="420" w:leftChars="200" w:firstLine="330" w:firstLineChars="150"/>
        <w:rPr>
          <w:rFonts w:ascii="宋体" w:hAnsi="宋体"/>
          <w:bCs/>
          <w:color w:val="auto"/>
          <w:sz w:val="22"/>
          <w:szCs w:val="22"/>
        </w:rPr>
      </w:pPr>
      <w:r>
        <w:rPr>
          <w:rFonts w:hint="eastAsia"/>
          <w:color w:val="auto"/>
          <w:sz w:val="22"/>
          <w:szCs w:val="22"/>
        </w:rPr>
        <w:t>本项目通过治理维护，使得</w:t>
      </w:r>
      <w:r>
        <w:rPr>
          <w:rFonts w:hint="eastAsia" w:ascii="宋体" w:hAnsi="宋体"/>
          <w:bCs/>
          <w:color w:val="auto"/>
          <w:sz w:val="22"/>
          <w:szCs w:val="22"/>
        </w:rPr>
        <w:t>本项目治理段水质主要指标（溶解氧、高锰酸盐指数、氨氮、总磷、COD、透明度、PH值）达到地表水环境质量标准（GB3838-2002）Ⅳ类水标准。服务期内治理段的监测站位水质主要指标（溶解氧、高锰酸盐指数、氨氮、总磷、COD、透明度、PH值）必须达到地表水环境质量标准（GB3838-2002）Ⅳ类水以上（含Ⅳ类）标准，三个月内设监测断面，在项目完工验收时及维护期结束后水质主要指标（溶解氧、高锰酸盐指数、氨氮、总磷、COD、透明度、PH值）达到地表水环境质量标准（GB3838-2002）Ⅳ类水质以上（含Ⅳ类）标准。</w:t>
      </w:r>
    </w:p>
    <w:p>
      <w:pPr>
        <w:spacing w:line="400" w:lineRule="exact"/>
        <w:rPr>
          <w:rFonts w:ascii="宋体" w:hAnsi="宋体"/>
          <w:b/>
          <w:bCs/>
          <w:sz w:val="22"/>
          <w:szCs w:val="22"/>
        </w:rPr>
      </w:pPr>
      <w:r>
        <w:rPr>
          <w:rFonts w:hint="eastAsia" w:ascii="宋体" w:hAnsi="宋体"/>
          <w:b/>
          <w:bCs/>
          <w:sz w:val="22"/>
          <w:szCs w:val="22"/>
        </w:rPr>
        <w:t>五、项目的实施方案和主要技术指标要求</w:t>
      </w:r>
    </w:p>
    <w:p>
      <w:pPr>
        <w:spacing w:line="400" w:lineRule="exact"/>
        <w:ind w:left="420" w:leftChars="200" w:firstLine="330" w:firstLineChars="150"/>
        <w:rPr>
          <w:rFonts w:ascii="宋体" w:hAnsi="宋体"/>
          <w:bCs/>
          <w:sz w:val="22"/>
          <w:szCs w:val="22"/>
        </w:rPr>
      </w:pPr>
      <w:r>
        <w:rPr>
          <w:rFonts w:hint="eastAsia" w:ascii="宋体" w:hAnsi="宋体"/>
          <w:bCs/>
          <w:sz w:val="22"/>
          <w:szCs w:val="22"/>
        </w:rPr>
        <w:t>投标人所提交的投标文件技术资信标部分，在实施方案中应充分体现考核指标的可达性。</w:t>
      </w:r>
    </w:p>
    <w:p>
      <w:pPr>
        <w:spacing w:line="400" w:lineRule="exact"/>
        <w:ind w:left="420"/>
        <w:rPr>
          <w:rFonts w:ascii="宋体" w:hAnsi="宋体"/>
          <w:bCs/>
          <w:sz w:val="22"/>
          <w:szCs w:val="22"/>
        </w:rPr>
      </w:pPr>
      <w:r>
        <w:rPr>
          <w:rFonts w:hint="eastAsia" w:ascii="宋体" w:hAnsi="宋体"/>
          <w:bCs/>
          <w:sz w:val="22"/>
          <w:szCs w:val="22"/>
        </w:rPr>
        <w:t>具体应达到以下要求：</w:t>
      </w:r>
    </w:p>
    <w:p>
      <w:pPr>
        <w:spacing w:line="400" w:lineRule="exact"/>
        <w:ind w:left="420" w:leftChars="200" w:firstLine="330" w:firstLineChars="150"/>
        <w:rPr>
          <w:rFonts w:ascii="宋体" w:hAnsi="宋体"/>
          <w:bCs/>
          <w:sz w:val="22"/>
          <w:szCs w:val="22"/>
        </w:rPr>
      </w:pPr>
      <w:r>
        <w:rPr>
          <w:rFonts w:hint="eastAsia" w:ascii="宋体" w:hAnsi="宋体"/>
          <w:bCs/>
          <w:sz w:val="22"/>
          <w:szCs w:val="22"/>
        </w:rPr>
        <w:t>1、本项目治理段水质主要指标（溶解氧、高锰酸盐指数、氨氮、总磷、COD、透明度、PH值）达到地表水环境质量标准（GB3838-2002）Ⅳ类水标准。服务期内治理段的监测站位水质主要指标（溶解氧、高锰酸盐指数、氨氮、总磷、COD、透明度、PH值）必须达到地表水环境质量标准（GB3838-2002）Ⅳ类水以上（含Ⅳ类）标准，三个月内设监测断面在项目完工验收时及维护期结束后水质主要指标（溶解氧、高锰酸盐指数、氨氮、总磷、COD、透明度、PH值）达到地表水环境质量标准（GB3838-2002）Ⅳ类水质以上（含Ⅳ类）标准。</w:t>
      </w:r>
    </w:p>
    <w:p>
      <w:pPr>
        <w:spacing w:line="400" w:lineRule="exact"/>
        <w:ind w:left="420" w:leftChars="200" w:firstLine="330" w:firstLineChars="150"/>
        <w:rPr>
          <w:rFonts w:ascii="宋体" w:hAnsi="宋体"/>
          <w:bCs/>
          <w:sz w:val="22"/>
          <w:szCs w:val="22"/>
        </w:rPr>
      </w:pPr>
      <w:r>
        <w:rPr>
          <w:rFonts w:hint="eastAsia" w:ascii="宋体" w:hAnsi="宋体"/>
          <w:bCs/>
          <w:sz w:val="22"/>
          <w:szCs w:val="22"/>
        </w:rPr>
        <w:t>2、通过针对本项目的方案实施，加强对外来污染的拦截、吸附、净化，重建水生态系统，改善下游河道水质，稳定站位水质指标。</w:t>
      </w:r>
    </w:p>
    <w:p>
      <w:pPr>
        <w:spacing w:line="400" w:lineRule="exact"/>
        <w:ind w:left="437" w:leftChars="208" w:firstLine="220" w:firstLineChars="100"/>
        <w:rPr>
          <w:rFonts w:ascii="宋体" w:hAnsi="宋体"/>
          <w:color w:val="auto"/>
          <w:sz w:val="22"/>
          <w:szCs w:val="22"/>
        </w:rPr>
      </w:pPr>
      <w:r>
        <w:rPr>
          <w:rFonts w:hint="eastAsia" w:ascii="宋体" w:hAnsi="宋体"/>
          <w:color w:val="auto"/>
          <w:sz w:val="22"/>
          <w:szCs w:val="22"/>
        </w:rPr>
        <w:t>3、招标人所提供的治理流域为必须治理范围，若投标人认为该治理流域无法满足治理目标，则可延伸或扩展其治理范围，且在技术资信标中注明增加范围。</w:t>
      </w:r>
    </w:p>
    <w:p>
      <w:pPr>
        <w:spacing w:line="400" w:lineRule="exact"/>
        <w:ind w:firstLine="660" w:firstLineChars="300"/>
        <w:rPr>
          <w:rFonts w:ascii="宋体" w:hAnsi="宋体"/>
          <w:color w:val="auto"/>
          <w:sz w:val="22"/>
          <w:szCs w:val="22"/>
        </w:rPr>
      </w:pPr>
      <w:r>
        <w:rPr>
          <w:rFonts w:hint="eastAsia" w:ascii="宋体" w:hAnsi="宋体"/>
          <w:color w:val="auto"/>
          <w:sz w:val="22"/>
          <w:szCs w:val="22"/>
        </w:rPr>
        <w:t>4、项目治理期为3个月，实施治理完毕后，维护期24个月。</w:t>
      </w:r>
    </w:p>
    <w:p>
      <w:pPr>
        <w:spacing w:line="400" w:lineRule="exact"/>
        <w:ind w:left="437" w:leftChars="208" w:firstLine="220" w:firstLineChars="100"/>
        <w:rPr>
          <w:rFonts w:ascii="宋体" w:hAnsi="宋体"/>
          <w:color w:val="auto"/>
          <w:sz w:val="22"/>
          <w:szCs w:val="22"/>
        </w:rPr>
      </w:pPr>
      <w:r>
        <w:rPr>
          <w:rFonts w:hint="eastAsia" w:ascii="宋体" w:hAnsi="宋体"/>
          <w:color w:val="auto"/>
          <w:sz w:val="22"/>
          <w:szCs w:val="22"/>
        </w:rPr>
        <w:t>5、项目治理及维护期间垃圾处理由中标供应商负责，垃圾处理费用包含在投标总价中，采购人不再另行支付。中标供应商不得违规使用化学药剂或有害生物菌种，造成环境污染事件的，中标供应商要承担相应治理责任。</w:t>
      </w:r>
    </w:p>
    <w:p>
      <w:pPr>
        <w:spacing w:line="400" w:lineRule="exact"/>
        <w:ind w:left="437" w:leftChars="208" w:firstLine="220" w:firstLineChars="100"/>
        <w:rPr>
          <w:rFonts w:hint="eastAsia" w:ascii="宋体" w:hAnsi="宋体"/>
          <w:color w:val="auto"/>
          <w:sz w:val="22"/>
          <w:szCs w:val="22"/>
        </w:rPr>
      </w:pPr>
      <w:r>
        <w:rPr>
          <w:rFonts w:hint="eastAsia" w:ascii="宋体" w:hAnsi="宋体"/>
          <w:color w:val="auto"/>
          <w:sz w:val="22"/>
          <w:szCs w:val="22"/>
        </w:rPr>
        <w:t>6、在维护期满后，投标人须对本项目治理及维护阶段所投入的设备机具等进行退场清理，该批设备机具等归投标人所有，所需的所有费用由投标人在投标报价中综合考虑。</w:t>
      </w:r>
    </w:p>
    <w:p>
      <w:pPr>
        <w:spacing w:line="400" w:lineRule="exact"/>
        <w:ind w:firstLine="660" w:firstLineChars="300"/>
        <w:rPr>
          <w:rFonts w:ascii="宋体" w:hAnsi="宋体"/>
          <w:color w:val="auto"/>
          <w:sz w:val="22"/>
          <w:szCs w:val="22"/>
        </w:rPr>
      </w:pPr>
      <w:r>
        <w:rPr>
          <w:rFonts w:hint="eastAsia" w:ascii="宋体" w:hAnsi="宋体"/>
          <w:color w:val="auto"/>
          <w:sz w:val="22"/>
          <w:szCs w:val="22"/>
        </w:rPr>
        <w:t>7、中标供应商必须在合同签订后15天内在平阳县域内设立一个办公地点。</w:t>
      </w:r>
    </w:p>
    <w:p>
      <w:pPr>
        <w:pStyle w:val="43"/>
        <w:spacing w:line="360" w:lineRule="auto"/>
        <w:rPr>
          <w:rFonts w:ascii="宋体" w:hAnsi="宋体" w:cs="宋体"/>
          <w:b/>
          <w:kern w:val="2"/>
          <w:sz w:val="22"/>
          <w:szCs w:val="22"/>
        </w:rPr>
      </w:pPr>
    </w:p>
    <w:p>
      <w:pPr>
        <w:pStyle w:val="43"/>
        <w:spacing w:line="360" w:lineRule="auto"/>
        <w:rPr>
          <w:rFonts w:ascii="宋体" w:hAnsi="宋体" w:cs="宋体"/>
          <w:b/>
          <w:kern w:val="2"/>
          <w:sz w:val="22"/>
          <w:szCs w:val="22"/>
        </w:rPr>
      </w:pPr>
      <w:r>
        <w:rPr>
          <w:rFonts w:hint="eastAsia" w:ascii="宋体" w:hAnsi="宋体"/>
          <w:b/>
          <w:bCs/>
          <w:sz w:val="22"/>
          <w:szCs w:val="22"/>
        </w:rPr>
        <w:t>六、水质提升与水质稳定</w:t>
      </w:r>
      <w:r>
        <w:rPr>
          <w:rFonts w:hint="eastAsia" w:ascii="宋体" w:hAnsi="宋体" w:cs="宋体"/>
          <w:b/>
          <w:kern w:val="2"/>
          <w:sz w:val="22"/>
          <w:szCs w:val="22"/>
        </w:rPr>
        <w:t>工程维护期主要内容</w:t>
      </w:r>
    </w:p>
    <w:p>
      <w:pPr>
        <w:pStyle w:val="11"/>
        <w:ind w:left="210" w:firstLine="442" w:firstLineChars="200"/>
        <w:rPr>
          <w:rFonts w:hint="eastAsia" w:eastAsia="宋体"/>
          <w:color w:val="000000" w:themeColor="text1"/>
          <w:sz w:val="22"/>
          <w:szCs w:val="22"/>
          <w:lang w:eastAsia="zh-CN"/>
          <w14:textFill>
            <w14:solidFill>
              <w14:schemeClr w14:val="tx1"/>
            </w14:solidFill>
          </w14:textFill>
        </w:rPr>
      </w:pPr>
      <w:r>
        <w:rPr>
          <w:rFonts w:hint="eastAsia"/>
          <w:b/>
          <w:bCs/>
          <w:color w:val="000000" w:themeColor="text1"/>
          <w:sz w:val="22"/>
          <w:szCs w:val="22"/>
          <w14:textFill>
            <w14:solidFill>
              <w14:schemeClr w14:val="tx1"/>
            </w14:solidFill>
          </w14:textFill>
        </w:rPr>
        <w:t>1、日常维护及河面保洁</w:t>
      </w:r>
      <w:r>
        <w:rPr>
          <w:rFonts w:hint="eastAsia"/>
          <w:b/>
          <w:bCs/>
          <w:color w:val="000000" w:themeColor="text1"/>
          <w:sz w:val="22"/>
          <w:szCs w:val="22"/>
          <w:lang w:eastAsia="zh-CN"/>
          <w14:textFill>
            <w14:solidFill>
              <w14:schemeClr w14:val="tx1"/>
            </w14:solidFill>
          </w14:textFill>
        </w:rPr>
        <w:t>。</w:t>
      </w:r>
    </w:p>
    <w:p>
      <w:pPr>
        <w:pStyle w:val="11"/>
        <w:ind w:left="210" w:firstLine="442" w:firstLineChars="200"/>
        <w:rPr>
          <w:rFonts w:hint="eastAsia" w:eastAsia="宋体"/>
          <w:color w:val="000000" w:themeColor="text1"/>
          <w:sz w:val="22"/>
          <w:szCs w:val="22"/>
          <w:lang w:eastAsia="zh-CN"/>
          <w14:textFill>
            <w14:solidFill>
              <w14:schemeClr w14:val="tx1"/>
            </w14:solidFill>
          </w14:textFill>
        </w:rPr>
      </w:pPr>
      <w:r>
        <w:rPr>
          <w:rFonts w:hint="eastAsia"/>
          <w:b/>
          <w:bCs/>
          <w:color w:val="000000" w:themeColor="text1"/>
          <w:sz w:val="22"/>
          <w:szCs w:val="22"/>
          <w14:textFill>
            <w14:solidFill>
              <w14:schemeClr w14:val="tx1"/>
            </w14:solidFill>
          </w14:textFill>
        </w:rPr>
        <w:t>2、水质</w:t>
      </w:r>
      <w:r>
        <w:rPr>
          <w:rFonts w:hint="eastAsia"/>
          <w:b/>
          <w:bCs/>
          <w:color w:val="000000" w:themeColor="text1"/>
          <w:sz w:val="22"/>
          <w:szCs w:val="22"/>
          <w:lang w:val="en-US" w:eastAsia="zh-CN"/>
          <w14:textFill>
            <w14:solidFill>
              <w14:schemeClr w14:val="tx1"/>
            </w14:solidFill>
          </w14:textFill>
        </w:rPr>
        <w:t>治理及维护</w:t>
      </w:r>
      <w:r>
        <w:rPr>
          <w:rFonts w:hint="eastAsia"/>
          <w:b/>
          <w:bCs/>
          <w:color w:val="000000" w:themeColor="text1"/>
          <w:sz w:val="22"/>
          <w:szCs w:val="22"/>
          <w:lang w:eastAsia="zh-CN"/>
          <w14:textFill>
            <w14:solidFill>
              <w14:schemeClr w14:val="tx1"/>
            </w14:solidFill>
          </w14:textFill>
        </w:rPr>
        <w:t>。</w:t>
      </w:r>
    </w:p>
    <w:p>
      <w:pPr>
        <w:pStyle w:val="11"/>
        <w:ind w:left="210" w:firstLine="442" w:firstLineChars="200"/>
        <w:rPr>
          <w:rFonts w:hint="eastAsia" w:eastAsia="宋体"/>
          <w:sz w:val="22"/>
          <w:szCs w:val="22"/>
          <w:lang w:eastAsia="zh-CN"/>
        </w:rPr>
      </w:pPr>
      <w:r>
        <w:rPr>
          <w:rFonts w:hint="eastAsia"/>
          <w:b/>
          <w:bCs/>
          <w:color w:val="000000" w:themeColor="text1"/>
          <w:sz w:val="22"/>
          <w:szCs w:val="22"/>
          <w14:textFill>
            <w14:solidFill>
              <w14:schemeClr w14:val="tx1"/>
            </w14:solidFill>
          </w14:textFill>
        </w:rPr>
        <w:t>3、水生植物维护</w:t>
      </w:r>
      <w:r>
        <w:rPr>
          <w:rFonts w:hint="eastAsia"/>
          <w:b/>
          <w:bCs/>
          <w:color w:val="000000" w:themeColor="text1"/>
          <w:sz w:val="22"/>
          <w:szCs w:val="22"/>
          <w:lang w:eastAsia="zh-CN"/>
          <w14:textFill>
            <w14:solidFill>
              <w14:schemeClr w14:val="tx1"/>
            </w14:solidFill>
          </w14:textFill>
        </w:rPr>
        <w:t>。</w:t>
      </w:r>
    </w:p>
    <w:p>
      <w:pPr>
        <w:pStyle w:val="11"/>
        <w:ind w:left="210" w:firstLine="442" w:firstLineChars="200"/>
        <w:rPr>
          <w:rFonts w:hint="eastAsia" w:eastAsia="宋体"/>
          <w:lang w:eastAsia="zh-CN"/>
        </w:rPr>
      </w:pPr>
      <w:r>
        <w:rPr>
          <w:rFonts w:hint="eastAsia"/>
          <w:b/>
          <w:bCs/>
          <w:color w:val="000000" w:themeColor="text1"/>
          <w:sz w:val="22"/>
          <w:szCs w:val="22"/>
          <w14:textFill>
            <w14:solidFill>
              <w14:schemeClr w14:val="tx1"/>
            </w14:solidFill>
          </w14:textFill>
        </w:rPr>
        <w:t>4、</w:t>
      </w:r>
      <w:r>
        <w:rPr>
          <w:rFonts w:hint="eastAsia"/>
          <w:b/>
          <w:bCs/>
          <w:color w:val="000000" w:themeColor="text1"/>
          <w:sz w:val="22"/>
          <w:szCs w:val="22"/>
          <w:lang w:val="en-US" w:eastAsia="zh-CN"/>
          <w14:textFill>
            <w14:solidFill>
              <w14:schemeClr w14:val="tx1"/>
            </w14:solidFill>
          </w14:textFill>
        </w:rPr>
        <w:t>生态系统构建</w:t>
      </w:r>
      <w:r>
        <w:rPr>
          <w:rFonts w:hint="eastAsia"/>
          <w:b/>
          <w:bCs/>
          <w:color w:val="000000" w:themeColor="text1"/>
          <w:sz w:val="22"/>
          <w:szCs w:val="22"/>
          <w:lang w:eastAsia="zh-CN"/>
          <w14:textFill>
            <w14:solidFill>
              <w14:schemeClr w14:val="tx1"/>
            </w14:solidFill>
          </w14:textFill>
        </w:rPr>
        <w:t>。</w:t>
      </w:r>
    </w:p>
    <w:p>
      <w:pPr>
        <w:pStyle w:val="11"/>
        <w:ind w:left="210" w:firstLine="442" w:firstLineChars="200"/>
        <w:rPr>
          <w:rFonts w:hint="eastAsia"/>
          <w:b/>
          <w:bCs/>
          <w:color w:val="000000" w:themeColor="text1"/>
          <w:sz w:val="22"/>
          <w:szCs w:val="22"/>
          <w:lang w:eastAsia="zh-CN"/>
          <w14:textFill>
            <w14:solidFill>
              <w14:schemeClr w14:val="tx1"/>
            </w14:solidFill>
          </w14:textFill>
        </w:rPr>
      </w:pPr>
      <w:r>
        <w:rPr>
          <w:rFonts w:hint="eastAsia"/>
          <w:b/>
          <w:bCs/>
          <w:color w:val="000000" w:themeColor="text1"/>
          <w:sz w:val="22"/>
          <w:szCs w:val="22"/>
          <w14:textFill>
            <w14:solidFill>
              <w14:schemeClr w14:val="tx1"/>
            </w14:solidFill>
          </w14:textFill>
        </w:rPr>
        <w:t>5、</w:t>
      </w:r>
      <w:r>
        <w:rPr>
          <w:rFonts w:hint="eastAsia"/>
          <w:b/>
          <w:bCs/>
          <w:color w:val="000000" w:themeColor="text1"/>
          <w:sz w:val="22"/>
          <w:szCs w:val="22"/>
          <w:lang w:val="en-US" w:eastAsia="zh-CN"/>
          <w14:textFill>
            <w14:solidFill>
              <w14:schemeClr w14:val="tx1"/>
            </w14:solidFill>
          </w14:textFill>
        </w:rPr>
        <w:t>生态系统养护要求</w:t>
      </w:r>
      <w:r>
        <w:rPr>
          <w:rFonts w:hint="eastAsia"/>
          <w:b/>
          <w:bCs/>
          <w:color w:val="000000" w:themeColor="text1"/>
          <w:sz w:val="22"/>
          <w:szCs w:val="22"/>
          <w:lang w:eastAsia="zh-CN"/>
          <w14:textFill>
            <w14:solidFill>
              <w14:schemeClr w14:val="tx1"/>
            </w14:solidFill>
          </w14:textFill>
        </w:rPr>
        <w:t>。</w:t>
      </w:r>
    </w:p>
    <w:p>
      <w:pPr>
        <w:pStyle w:val="11"/>
        <w:ind w:left="210" w:firstLine="442" w:firstLineChars="200"/>
        <w:rPr>
          <w:rFonts w:hint="eastAsia"/>
          <w:b/>
          <w:bCs/>
          <w:color w:val="000000" w:themeColor="text1"/>
          <w:sz w:val="22"/>
          <w:szCs w:val="22"/>
          <w:lang w:val="en-US" w:eastAsia="zh-CN"/>
          <w14:textFill>
            <w14:solidFill>
              <w14:schemeClr w14:val="tx1"/>
            </w14:solidFill>
          </w14:textFill>
        </w:rPr>
      </w:pPr>
      <w:r>
        <w:rPr>
          <w:rFonts w:hint="eastAsia"/>
          <w:b/>
          <w:bCs/>
          <w:color w:val="000000" w:themeColor="text1"/>
          <w:sz w:val="22"/>
          <w:szCs w:val="22"/>
          <w:lang w:val="en-US" w:eastAsia="zh-CN"/>
          <w14:textFill>
            <w14:solidFill>
              <w14:schemeClr w14:val="tx1"/>
            </w14:solidFill>
          </w14:textFill>
        </w:rPr>
        <w:t>6、防台抗汛等应急措施。</w:t>
      </w:r>
    </w:p>
    <w:p>
      <w:pPr>
        <w:pStyle w:val="11"/>
        <w:ind w:left="210" w:firstLine="442" w:firstLineChars="200"/>
        <w:rPr>
          <w:rFonts w:hint="eastAsia"/>
          <w:b/>
          <w:bCs/>
          <w:color w:val="000000" w:themeColor="text1"/>
          <w:sz w:val="22"/>
          <w:szCs w:val="22"/>
          <w:lang w:val="en-US" w:eastAsia="zh-CN"/>
          <w14:textFill>
            <w14:solidFill>
              <w14:schemeClr w14:val="tx1"/>
            </w14:solidFill>
          </w14:textFill>
        </w:rPr>
      </w:pPr>
      <w:r>
        <w:rPr>
          <w:rFonts w:hint="eastAsia"/>
          <w:b/>
          <w:bCs/>
          <w:color w:val="000000" w:themeColor="text1"/>
          <w:sz w:val="22"/>
          <w:szCs w:val="22"/>
          <w:lang w:val="en-US" w:eastAsia="zh-CN"/>
          <w14:textFill>
            <w14:solidFill>
              <w14:schemeClr w14:val="tx1"/>
            </w14:solidFill>
          </w14:textFill>
        </w:rPr>
        <w:t>7、应急处置预案。</w:t>
      </w:r>
    </w:p>
    <w:p>
      <w:pPr>
        <w:pStyle w:val="11"/>
        <w:ind w:left="210" w:firstLine="442" w:firstLineChars="200"/>
        <w:rPr>
          <w:rFonts w:hint="eastAsia"/>
          <w:b/>
          <w:bCs/>
          <w:color w:val="000000" w:themeColor="text1"/>
          <w:sz w:val="22"/>
          <w:szCs w:val="22"/>
          <w:lang w:val="en-US" w:eastAsia="zh-CN"/>
          <w14:textFill>
            <w14:solidFill>
              <w14:schemeClr w14:val="tx1"/>
            </w14:solidFill>
          </w14:textFill>
        </w:rPr>
      </w:pPr>
      <w:r>
        <w:rPr>
          <w:rFonts w:hint="eastAsia"/>
          <w:b/>
          <w:bCs/>
          <w:color w:val="000000" w:themeColor="text1"/>
          <w:sz w:val="22"/>
          <w:szCs w:val="22"/>
          <w:lang w:val="en-US" w:eastAsia="zh-CN"/>
          <w14:textFill>
            <w14:solidFill>
              <w14:schemeClr w14:val="tx1"/>
            </w14:solidFill>
          </w14:textFill>
        </w:rPr>
        <w:t>8、应对水质恶化突发性事件的方案。</w:t>
      </w:r>
    </w:p>
    <w:p>
      <w:pPr>
        <w:pStyle w:val="11"/>
        <w:ind w:left="210" w:firstLine="220" w:firstLineChars="100"/>
        <w:rPr>
          <w:color w:val="000000" w:themeColor="text1"/>
          <w:sz w:val="22"/>
          <w:szCs w:val="22"/>
          <w:lang w:val="zh-CN"/>
          <w14:textFill>
            <w14:solidFill>
              <w14:schemeClr w14:val="tx1"/>
            </w14:solidFill>
          </w14:textFill>
        </w:rPr>
      </w:pPr>
    </w:p>
    <w:p>
      <w:pPr>
        <w:spacing w:line="400" w:lineRule="exact"/>
        <w:rPr>
          <w:rFonts w:ascii="宋体" w:hAnsi="宋体"/>
          <w:b/>
          <w:bCs/>
          <w:sz w:val="22"/>
          <w:szCs w:val="22"/>
        </w:rPr>
      </w:pPr>
      <w:r>
        <w:rPr>
          <w:rFonts w:hint="eastAsia" w:ascii="宋体" w:hAnsi="宋体"/>
          <w:b/>
          <w:bCs/>
          <w:sz w:val="22"/>
          <w:szCs w:val="22"/>
        </w:rPr>
        <w:t>七、商务要求</w:t>
      </w:r>
    </w:p>
    <w:p>
      <w:pPr>
        <w:tabs>
          <w:tab w:val="left" w:pos="980"/>
        </w:tabs>
        <w:spacing w:line="460" w:lineRule="exact"/>
        <w:rPr>
          <w:rFonts w:ascii="宋体" w:hAnsi="宋体" w:cs="宋体"/>
          <w:color w:val="auto"/>
          <w:sz w:val="22"/>
          <w:szCs w:val="22"/>
        </w:rPr>
      </w:pPr>
      <w:r>
        <w:rPr>
          <w:rFonts w:hint="eastAsia" w:ascii="宋体" w:hAnsi="宋体" w:cs="宋体"/>
          <w:sz w:val="22"/>
          <w:szCs w:val="22"/>
        </w:rPr>
        <w:t>1、服务周期：治理期3个月，</w:t>
      </w:r>
      <w:r>
        <w:rPr>
          <w:rFonts w:hint="eastAsia" w:ascii="宋体" w:hAnsi="宋体" w:cs="宋体"/>
          <w:color w:val="auto"/>
          <w:sz w:val="22"/>
          <w:szCs w:val="22"/>
        </w:rPr>
        <w:t>维护期24个月。</w:t>
      </w:r>
    </w:p>
    <w:p>
      <w:pPr>
        <w:tabs>
          <w:tab w:val="left" w:pos="980"/>
        </w:tabs>
        <w:spacing w:line="460" w:lineRule="exact"/>
        <w:rPr>
          <w:rFonts w:ascii="宋体" w:hAnsi="宋体" w:cs="宋体"/>
          <w:sz w:val="22"/>
          <w:szCs w:val="22"/>
        </w:rPr>
      </w:pPr>
      <w:r>
        <w:rPr>
          <w:rFonts w:hint="eastAsia" w:ascii="宋体" w:hAnsi="宋体" w:cs="宋体"/>
          <w:color w:val="auto"/>
          <w:sz w:val="22"/>
          <w:szCs w:val="22"/>
        </w:rPr>
        <w:t>2、质量要求：符合国家相应工程规范、标准的要</w:t>
      </w:r>
      <w:r>
        <w:rPr>
          <w:rFonts w:hint="eastAsia" w:ascii="宋体" w:hAnsi="宋体" w:cs="宋体"/>
          <w:sz w:val="22"/>
          <w:szCs w:val="22"/>
        </w:rPr>
        <w:t>求。</w:t>
      </w:r>
    </w:p>
    <w:p>
      <w:pPr>
        <w:snapToGrid w:val="0"/>
        <w:spacing w:line="460" w:lineRule="atLeast"/>
        <w:rPr>
          <w:rFonts w:ascii="宋体" w:hAnsi="宋体" w:cs="宋体"/>
          <w:bCs/>
          <w:sz w:val="22"/>
          <w:szCs w:val="22"/>
        </w:rPr>
      </w:pPr>
      <w:r>
        <w:rPr>
          <w:rFonts w:hint="eastAsia" w:ascii="宋体" w:hAnsi="宋体" w:cs="宋体"/>
          <w:bCs/>
          <w:sz w:val="22"/>
          <w:szCs w:val="22"/>
        </w:rPr>
        <w:t>3、付款方式：</w:t>
      </w:r>
    </w:p>
    <w:p>
      <w:pPr>
        <w:snapToGrid w:val="0"/>
        <w:spacing w:line="460" w:lineRule="atLeast"/>
        <w:rPr>
          <w:rFonts w:hint="eastAsia" w:ascii="宋体" w:hAnsi="宋体" w:cs="宋体"/>
          <w:bCs/>
          <w:sz w:val="22"/>
          <w:szCs w:val="22"/>
        </w:rPr>
      </w:pPr>
      <w:r>
        <w:rPr>
          <w:rFonts w:hint="eastAsia" w:ascii="宋体" w:hAnsi="宋体" w:cs="宋体"/>
          <w:bCs/>
          <w:sz w:val="22"/>
          <w:szCs w:val="22"/>
        </w:rPr>
        <w:t>（1）中标人在签订合同后七个工作日向采购人提交中标价的5％作为履约保证金（可采用保函方式提交）</w:t>
      </w:r>
      <w:r>
        <w:rPr>
          <w:rFonts w:hint="eastAsia" w:ascii="宋体" w:hAnsi="宋体" w:cs="宋体"/>
          <w:bCs/>
          <w:sz w:val="22"/>
          <w:szCs w:val="22"/>
          <w:lang w:eastAsia="zh-CN"/>
        </w:rPr>
        <w:t>。维护期满后且无水质问题，采购人无息退还履约保证金</w:t>
      </w:r>
      <w:r>
        <w:rPr>
          <w:rFonts w:hint="eastAsia" w:ascii="宋体" w:hAnsi="宋体" w:cs="宋体"/>
          <w:bCs/>
          <w:sz w:val="22"/>
          <w:szCs w:val="22"/>
        </w:rPr>
        <w:t>；</w:t>
      </w:r>
    </w:p>
    <w:p>
      <w:pPr>
        <w:snapToGrid w:val="0"/>
        <w:spacing w:line="460" w:lineRule="atLeast"/>
        <w:rPr>
          <w:rFonts w:hint="eastAsia"/>
          <w:sz w:val="22"/>
          <w:szCs w:val="22"/>
        </w:rPr>
      </w:pPr>
      <w:r>
        <w:rPr>
          <w:rFonts w:hint="eastAsia"/>
          <w:sz w:val="22"/>
          <w:szCs w:val="22"/>
        </w:rPr>
        <w:t>（2）预付款：签订合同后，并进场</w:t>
      </w:r>
      <w:r>
        <w:rPr>
          <w:rFonts w:hint="eastAsia"/>
          <w:color w:val="auto"/>
          <w:sz w:val="22"/>
          <w:szCs w:val="22"/>
        </w:rPr>
        <w:t>施工后，</w:t>
      </w:r>
      <w:r>
        <w:rPr>
          <w:rFonts w:hint="eastAsia"/>
          <w:color w:val="auto"/>
          <w:sz w:val="22"/>
          <w:szCs w:val="22"/>
          <w:lang w:val="en-US" w:eastAsia="zh-CN"/>
        </w:rPr>
        <w:t>15日内</w:t>
      </w:r>
      <w:r>
        <w:rPr>
          <w:rFonts w:hint="eastAsia"/>
          <w:color w:val="auto"/>
          <w:sz w:val="22"/>
          <w:szCs w:val="22"/>
        </w:rPr>
        <w:t>采购</w:t>
      </w:r>
      <w:r>
        <w:rPr>
          <w:rFonts w:hint="eastAsia"/>
          <w:sz w:val="22"/>
          <w:szCs w:val="22"/>
        </w:rPr>
        <w:t>人支付给中标供应商合同金额10%的预付款；</w:t>
      </w:r>
    </w:p>
    <w:p>
      <w:pPr>
        <w:snapToGrid w:val="0"/>
        <w:spacing w:line="460" w:lineRule="atLeast"/>
        <w:rPr>
          <w:sz w:val="22"/>
          <w:szCs w:val="22"/>
        </w:rPr>
      </w:pPr>
      <w:r>
        <w:rPr>
          <w:rFonts w:hint="eastAsia"/>
          <w:sz w:val="22"/>
          <w:szCs w:val="22"/>
        </w:rPr>
        <w:t>（3）项目施工期完成且验收通过后，以及资料完整移交采购人后，采购人向中标供应商支付至合同价的3</w:t>
      </w:r>
      <w:r>
        <w:rPr>
          <w:rFonts w:hint="eastAsia"/>
          <w:sz w:val="22"/>
          <w:szCs w:val="22"/>
          <w:lang w:val="en-US" w:eastAsia="zh-CN"/>
        </w:rPr>
        <w:t>5</w:t>
      </w:r>
      <w:r>
        <w:rPr>
          <w:rFonts w:hint="eastAsia"/>
          <w:sz w:val="22"/>
          <w:szCs w:val="22"/>
        </w:rPr>
        <w:t>%；</w:t>
      </w:r>
    </w:p>
    <w:p>
      <w:pPr>
        <w:snapToGrid w:val="0"/>
        <w:spacing w:line="460" w:lineRule="atLeast"/>
        <w:rPr>
          <w:sz w:val="22"/>
          <w:szCs w:val="22"/>
        </w:rPr>
      </w:pPr>
      <w:r>
        <w:rPr>
          <w:rFonts w:hint="eastAsia"/>
          <w:sz w:val="22"/>
          <w:szCs w:val="22"/>
        </w:rPr>
        <w:t>（4）维护期满半年后，采购人向中标供应商支付至合同价的50%；维护期满一年后，采购人向中标供应商支付至合同价的6</w:t>
      </w:r>
      <w:r>
        <w:rPr>
          <w:rFonts w:hint="eastAsia"/>
          <w:sz w:val="22"/>
          <w:szCs w:val="22"/>
          <w:lang w:val="en-US" w:eastAsia="zh-CN"/>
        </w:rPr>
        <w:t>5</w:t>
      </w:r>
      <w:r>
        <w:rPr>
          <w:rFonts w:hint="eastAsia"/>
          <w:sz w:val="22"/>
          <w:szCs w:val="22"/>
        </w:rPr>
        <w:t>%；维护期满一年半后，采购人向中标供应商支付至合同价的</w:t>
      </w:r>
      <w:r>
        <w:rPr>
          <w:rFonts w:hint="eastAsia"/>
          <w:sz w:val="22"/>
          <w:szCs w:val="22"/>
          <w:lang w:val="en-US" w:eastAsia="zh-CN"/>
        </w:rPr>
        <w:t>80</w:t>
      </w:r>
      <w:r>
        <w:rPr>
          <w:rFonts w:hint="eastAsia"/>
          <w:sz w:val="22"/>
          <w:szCs w:val="22"/>
        </w:rPr>
        <w:t>%；维护期满两年后，</w:t>
      </w:r>
      <w:r>
        <w:rPr>
          <w:rFonts w:hint="eastAsia"/>
          <w:sz w:val="22"/>
          <w:szCs w:val="22"/>
          <w:lang w:val="en-US" w:eastAsia="zh-CN"/>
        </w:rPr>
        <w:t>维护期满后且无水质问题</w:t>
      </w:r>
      <w:r>
        <w:rPr>
          <w:rFonts w:hint="eastAsia"/>
          <w:sz w:val="22"/>
          <w:szCs w:val="22"/>
          <w:u w:val="none"/>
        </w:rPr>
        <w:t>，</w:t>
      </w:r>
      <w:r>
        <w:rPr>
          <w:rFonts w:hint="eastAsia"/>
          <w:sz w:val="22"/>
          <w:szCs w:val="22"/>
        </w:rPr>
        <w:t>采购人向中标供应商支付至审定结算总价的100%。</w:t>
      </w:r>
    </w:p>
    <w:p>
      <w:pPr>
        <w:spacing w:line="400" w:lineRule="exact"/>
        <w:rPr>
          <w:rFonts w:hint="default" w:ascii="宋体" w:hAnsi="宋体" w:eastAsia="宋体" w:cs="宋体"/>
          <w:b/>
          <w:bCs w:val="0"/>
          <w:color w:val="auto"/>
          <w:sz w:val="22"/>
          <w:szCs w:val="22"/>
          <w:lang w:val="en-US" w:eastAsia="zh-CN"/>
        </w:rPr>
      </w:pPr>
      <w:r>
        <w:rPr>
          <w:rFonts w:hint="eastAsia" w:ascii="宋体" w:hAnsi="宋体" w:cs="宋体"/>
          <w:b/>
          <w:bCs w:val="0"/>
          <w:color w:val="auto"/>
          <w:sz w:val="22"/>
          <w:szCs w:val="22"/>
        </w:rPr>
        <w:t>▲4、</w:t>
      </w:r>
      <w:r>
        <w:rPr>
          <w:rFonts w:hint="eastAsia" w:ascii="宋体" w:hAnsi="宋体" w:cs="宋体"/>
          <w:b/>
          <w:bCs w:val="0"/>
          <w:color w:val="auto"/>
          <w:sz w:val="22"/>
          <w:szCs w:val="22"/>
          <w:lang w:val="en-US" w:eastAsia="zh-CN"/>
        </w:rPr>
        <w:t>水质考核：</w:t>
      </w:r>
    </w:p>
    <w:p>
      <w:pPr>
        <w:spacing w:line="400" w:lineRule="exact"/>
        <w:ind w:firstLine="442" w:firstLineChars="200"/>
        <w:rPr>
          <w:rFonts w:ascii="宋体" w:hAnsi="宋体"/>
          <w:b/>
          <w:bCs/>
          <w:color w:val="auto"/>
          <w:sz w:val="22"/>
          <w:szCs w:val="22"/>
        </w:rPr>
      </w:pPr>
      <w:r>
        <w:rPr>
          <w:rFonts w:hint="eastAsia" w:ascii="宋体" w:hAnsi="宋体"/>
          <w:b/>
          <w:bCs/>
          <w:color w:val="auto"/>
          <w:sz w:val="22"/>
          <w:szCs w:val="22"/>
          <w:lang w:val="en-US" w:eastAsia="zh-CN"/>
        </w:rPr>
        <w:t>（1）</w:t>
      </w:r>
      <w:r>
        <w:rPr>
          <w:rFonts w:hint="eastAsia" w:ascii="宋体" w:hAnsi="宋体"/>
          <w:b/>
          <w:bCs/>
          <w:color w:val="auto"/>
          <w:sz w:val="22"/>
          <w:szCs w:val="22"/>
        </w:rPr>
        <w:t>每月环保等部门对本项目治理段水质取样检测，治理段水质主要指标（溶解氧、高锰酸盐指数、氨氮、总磷、COD、透明度、PH值）达到地表水环境质量标准（GB3838-2002）Ⅳ类水标准，水体不允许出现黑臭现象。</w:t>
      </w:r>
    </w:p>
    <w:p>
      <w:pPr>
        <w:spacing w:line="400" w:lineRule="exact"/>
        <w:ind w:firstLine="442" w:firstLineChars="200"/>
        <w:rPr>
          <w:rFonts w:ascii="宋体" w:hAnsi="宋体"/>
          <w:b/>
          <w:bCs/>
          <w:color w:val="auto"/>
          <w:sz w:val="22"/>
          <w:szCs w:val="22"/>
        </w:rPr>
      </w:pPr>
      <w:r>
        <w:rPr>
          <w:rFonts w:hint="eastAsia" w:ascii="宋体" w:hAnsi="宋体"/>
          <w:b/>
          <w:bCs/>
          <w:color w:val="auto"/>
          <w:sz w:val="22"/>
          <w:szCs w:val="22"/>
          <w:lang w:val="en-US" w:eastAsia="zh-CN"/>
        </w:rPr>
        <w:t>（2）</w:t>
      </w:r>
      <w:r>
        <w:rPr>
          <w:rFonts w:hint="eastAsia" w:ascii="宋体" w:hAnsi="宋体"/>
          <w:b/>
          <w:bCs/>
          <w:color w:val="auto"/>
          <w:sz w:val="22"/>
          <w:szCs w:val="22"/>
        </w:rPr>
        <w:t>如乙方本月考核综合得分，未达到90分，则按比例扣除费用。具体扣除方法：当月得分在90分至80分之间（含），每降低一分扣</w:t>
      </w:r>
      <w:r>
        <w:rPr>
          <w:rFonts w:hint="eastAsia" w:ascii="宋体" w:hAnsi="宋体"/>
          <w:b/>
          <w:bCs/>
          <w:color w:val="auto"/>
          <w:sz w:val="22"/>
          <w:szCs w:val="22"/>
          <w:lang w:val="en-US" w:eastAsia="zh-CN"/>
        </w:rPr>
        <w:t>2</w:t>
      </w:r>
      <w:r>
        <w:rPr>
          <w:rFonts w:hint="eastAsia" w:ascii="宋体" w:hAnsi="宋体"/>
          <w:b/>
          <w:bCs/>
          <w:color w:val="auto"/>
          <w:sz w:val="22"/>
          <w:szCs w:val="22"/>
        </w:rPr>
        <w:t>000元；当月得分在80分以下或当月市对县或县对镇的水质情况通报中水质考核通报中出现治理段水质主要指标（溶解氧、高锰酸盐指数、氨氮、总磷、COD、透明度、PH值）没有达到地表水环境质量标准（GB3838-2002）Ⅳ类水标准，本月考核按不合格处理，不再另行扣分。考核不合格每次扣除</w:t>
      </w:r>
      <w:r>
        <w:rPr>
          <w:rFonts w:hint="eastAsia" w:ascii="宋体" w:hAnsi="宋体"/>
          <w:b/>
          <w:bCs/>
          <w:color w:val="auto"/>
          <w:sz w:val="22"/>
          <w:szCs w:val="22"/>
          <w:lang w:val="en-US" w:eastAsia="zh-CN"/>
        </w:rPr>
        <w:t>合同总金额的2%</w:t>
      </w:r>
      <w:r>
        <w:rPr>
          <w:rFonts w:hint="eastAsia" w:ascii="宋体" w:hAnsi="宋体"/>
          <w:b/>
          <w:bCs/>
          <w:color w:val="auto"/>
          <w:sz w:val="22"/>
          <w:szCs w:val="22"/>
        </w:rPr>
        <w:t>。</w:t>
      </w:r>
    </w:p>
    <w:p>
      <w:pPr>
        <w:spacing w:line="400" w:lineRule="exact"/>
        <w:ind w:firstLine="442" w:firstLineChars="200"/>
        <w:rPr>
          <w:b/>
          <w:bCs/>
          <w:color w:val="auto"/>
          <w:sz w:val="22"/>
          <w:szCs w:val="22"/>
        </w:rPr>
      </w:pPr>
      <w:r>
        <w:rPr>
          <w:rFonts w:hint="eastAsia" w:ascii="宋体" w:hAnsi="宋体"/>
          <w:b/>
          <w:bCs/>
          <w:color w:val="auto"/>
          <w:sz w:val="22"/>
          <w:szCs w:val="22"/>
          <w:lang w:val="en-US" w:eastAsia="zh-CN"/>
        </w:rPr>
        <w:t>（3）连续三次考核分数不合格或</w:t>
      </w:r>
      <w:r>
        <w:rPr>
          <w:rFonts w:hint="eastAsia" w:ascii="宋体" w:hAnsi="宋体"/>
          <w:b/>
          <w:bCs/>
          <w:color w:val="auto"/>
          <w:sz w:val="22"/>
          <w:szCs w:val="22"/>
        </w:rPr>
        <w:t>连续两次市对县或县对镇每月水质情况通报中出现治理段水质主要指标（溶解氧、高锰酸盐指数、氨氮、总磷、COD、透明度、PH值）没有达到地表水环境质量标准（GB3838-2002）Ⅳ类水标准</w:t>
      </w:r>
      <w:r>
        <w:rPr>
          <w:rFonts w:hint="eastAsia" w:ascii="宋体" w:hAnsi="宋体"/>
          <w:b/>
          <w:bCs/>
          <w:color w:val="auto"/>
          <w:sz w:val="22"/>
          <w:szCs w:val="22"/>
          <w:lang w:eastAsia="zh-CN"/>
        </w:rPr>
        <w:t>，</w:t>
      </w:r>
      <w:r>
        <w:rPr>
          <w:rFonts w:hint="eastAsia" w:ascii="宋体" w:hAnsi="宋体"/>
          <w:b/>
          <w:bCs/>
          <w:color w:val="auto"/>
          <w:sz w:val="22"/>
          <w:szCs w:val="22"/>
        </w:rPr>
        <w:t>或服务期累计出现6次治理段主要指标（</w:t>
      </w:r>
      <w:r>
        <w:rPr>
          <w:rFonts w:hint="eastAsia" w:ascii="宋体" w:hAnsi="宋体"/>
          <w:b/>
          <w:bCs/>
          <w:color w:val="auto"/>
          <w:sz w:val="22"/>
          <w:szCs w:val="22"/>
          <w:lang w:eastAsia="zh-CN"/>
        </w:rPr>
        <w:t>溶解氧、高锰酸盐指数、氨氮、总磷、COD、透明度、PH值</w:t>
      </w:r>
      <w:r>
        <w:rPr>
          <w:rFonts w:hint="eastAsia" w:ascii="宋体" w:hAnsi="宋体"/>
          <w:b/>
          <w:bCs/>
          <w:color w:val="auto"/>
          <w:sz w:val="22"/>
          <w:szCs w:val="22"/>
        </w:rPr>
        <w:t>）</w:t>
      </w:r>
      <w:r>
        <w:rPr>
          <w:rFonts w:hint="eastAsia" w:ascii="宋体" w:hAnsi="宋体"/>
          <w:b/>
          <w:bCs/>
          <w:color w:val="auto"/>
          <w:sz w:val="22"/>
          <w:szCs w:val="22"/>
          <w:lang w:eastAsia="zh-CN"/>
        </w:rPr>
        <w:t>没有</w:t>
      </w:r>
      <w:r>
        <w:rPr>
          <w:rFonts w:hint="eastAsia" w:ascii="宋体" w:hAnsi="宋体"/>
          <w:b/>
          <w:bCs/>
          <w:color w:val="auto"/>
          <w:sz w:val="22"/>
          <w:szCs w:val="22"/>
        </w:rPr>
        <w:t>达到地表水环境质量标准（GB3838-2002）Ⅳ类水标准的，视同中标单位违约，采购人有权单方终止本合同。</w:t>
      </w:r>
    </w:p>
    <w:p>
      <w:pPr>
        <w:pStyle w:val="14"/>
        <w:spacing w:line="460" w:lineRule="exact"/>
        <w:ind w:left="0" w:leftChars="0" w:firstLine="0" w:firstLineChars="0"/>
        <w:rPr>
          <w:rFonts w:ascii="宋体" w:hAnsi="宋体" w:cs="宋体"/>
          <w:b/>
          <w:bCs/>
          <w:kern w:val="1"/>
          <w:sz w:val="22"/>
          <w:szCs w:val="22"/>
        </w:rPr>
      </w:pPr>
      <w:r>
        <w:rPr>
          <w:rFonts w:hint="eastAsia" w:ascii="宋体" w:hAnsi="宋体" w:cs="宋体"/>
          <w:b/>
          <w:bCs/>
          <w:kern w:val="1"/>
          <w:sz w:val="22"/>
          <w:szCs w:val="22"/>
        </w:rPr>
        <w:t>八、其他要求</w:t>
      </w:r>
    </w:p>
    <w:p>
      <w:pPr>
        <w:snapToGrid w:val="0"/>
        <w:spacing w:line="460" w:lineRule="atLeast"/>
        <w:ind w:firstLine="440" w:firstLineChars="200"/>
        <w:rPr>
          <w:sz w:val="22"/>
          <w:szCs w:val="22"/>
        </w:rPr>
      </w:pPr>
      <w:r>
        <w:rPr>
          <w:rFonts w:hint="eastAsia"/>
          <w:sz w:val="22"/>
          <w:szCs w:val="22"/>
        </w:rPr>
        <w:t>1、中标人应加</w:t>
      </w:r>
      <w:r>
        <w:rPr>
          <w:rFonts w:hint="eastAsia"/>
          <w:color w:val="auto"/>
          <w:sz w:val="22"/>
          <w:szCs w:val="22"/>
        </w:rPr>
        <w:t>强</w:t>
      </w:r>
      <w:r>
        <w:rPr>
          <w:rFonts w:hint="eastAsia"/>
          <w:color w:val="auto"/>
          <w:sz w:val="22"/>
          <w:szCs w:val="22"/>
          <w:lang w:eastAsia="zh-CN"/>
        </w:rPr>
        <w:t>项目实施及后期维护过程中</w:t>
      </w:r>
      <w:r>
        <w:rPr>
          <w:rFonts w:hint="eastAsia"/>
          <w:color w:val="auto"/>
          <w:sz w:val="22"/>
          <w:szCs w:val="22"/>
        </w:rPr>
        <w:t>对员</w:t>
      </w:r>
      <w:r>
        <w:rPr>
          <w:rFonts w:hint="eastAsia"/>
          <w:sz w:val="22"/>
          <w:szCs w:val="22"/>
        </w:rPr>
        <w:t>工的安全教育，工作人员需佩戴安全帽、穿救生服，在服务期内若出现安全事故，中标供应商应自行承担全部责任与采购人无关。</w:t>
      </w:r>
    </w:p>
    <w:p>
      <w:pPr>
        <w:snapToGrid w:val="0"/>
        <w:spacing w:line="460" w:lineRule="atLeast"/>
        <w:ind w:firstLine="440" w:firstLineChars="200"/>
        <w:rPr>
          <w:sz w:val="22"/>
          <w:szCs w:val="22"/>
        </w:rPr>
      </w:pPr>
      <w:r>
        <w:rPr>
          <w:rFonts w:hint="eastAsia"/>
          <w:sz w:val="22"/>
          <w:szCs w:val="22"/>
        </w:rPr>
        <w:t>2、供应商应按照国家劳动保护法的规定，定期发给员工必须的劳动保护用品，给工作人员等购买人身安全保险。供应商应加强对危险作业的安全检查，做好安检工作。</w:t>
      </w:r>
    </w:p>
    <w:p>
      <w:pPr>
        <w:pStyle w:val="11"/>
        <w:ind w:left="210" w:firstLine="220" w:firstLineChars="100"/>
        <w:rPr>
          <w:color w:val="000000" w:themeColor="text1"/>
          <w:sz w:val="22"/>
          <w:szCs w:val="22"/>
          <w:lang w:val="zh-CN"/>
          <w14:textFill>
            <w14:solidFill>
              <w14:schemeClr w14:val="tx1"/>
            </w14:solidFill>
          </w14:textFill>
        </w:rPr>
      </w:pPr>
    </w:p>
    <w:p>
      <w:pPr>
        <w:pStyle w:val="2"/>
        <w:jc w:val="both"/>
        <w:rPr>
          <w:rFonts w:ascii="宋体" w:hAnsi="宋体" w:cs="宋体"/>
          <w:lang w:val="zh-CN"/>
        </w:rPr>
      </w:pPr>
    </w:p>
    <w:p>
      <w:pPr>
        <w:pStyle w:val="2"/>
        <w:rPr>
          <w:rFonts w:ascii="宋体" w:hAnsi="宋体" w:cs="宋体"/>
          <w:lang w:val="zh-CN"/>
        </w:rPr>
      </w:pPr>
    </w:p>
    <w:p>
      <w:pPr>
        <w:autoSpaceDE w:val="0"/>
        <w:autoSpaceDN w:val="0"/>
        <w:adjustRightInd w:val="0"/>
        <w:snapToGrid w:val="0"/>
        <w:spacing w:line="460" w:lineRule="atLeast"/>
        <w:jc w:val="center"/>
        <w:rPr>
          <w:rFonts w:hint="eastAsia" w:ascii="宋体"/>
          <w:b/>
          <w:sz w:val="40"/>
          <w:szCs w:val="40"/>
        </w:rPr>
      </w:pPr>
    </w:p>
    <w:p>
      <w:pPr>
        <w:autoSpaceDE w:val="0"/>
        <w:autoSpaceDN w:val="0"/>
        <w:adjustRightInd w:val="0"/>
        <w:snapToGrid w:val="0"/>
        <w:spacing w:line="460" w:lineRule="atLeast"/>
        <w:jc w:val="center"/>
        <w:rPr>
          <w:rFonts w:hint="eastAsia" w:ascii="宋体"/>
          <w:b/>
          <w:sz w:val="40"/>
          <w:szCs w:val="40"/>
        </w:rPr>
      </w:pPr>
    </w:p>
    <w:p>
      <w:pPr>
        <w:autoSpaceDE w:val="0"/>
        <w:autoSpaceDN w:val="0"/>
        <w:adjustRightInd w:val="0"/>
        <w:snapToGrid w:val="0"/>
        <w:spacing w:line="460" w:lineRule="atLeast"/>
        <w:jc w:val="center"/>
        <w:rPr>
          <w:rFonts w:hint="eastAsia" w:ascii="宋体"/>
          <w:b/>
          <w:sz w:val="40"/>
          <w:szCs w:val="40"/>
        </w:rPr>
      </w:pPr>
    </w:p>
    <w:p>
      <w:pPr>
        <w:autoSpaceDE w:val="0"/>
        <w:autoSpaceDN w:val="0"/>
        <w:adjustRightInd w:val="0"/>
        <w:snapToGrid w:val="0"/>
        <w:spacing w:line="460" w:lineRule="atLeast"/>
        <w:jc w:val="center"/>
        <w:rPr>
          <w:rFonts w:hint="eastAsia" w:ascii="宋体"/>
          <w:b/>
          <w:sz w:val="40"/>
          <w:szCs w:val="40"/>
        </w:rPr>
      </w:pPr>
    </w:p>
    <w:p>
      <w:pPr>
        <w:autoSpaceDE w:val="0"/>
        <w:autoSpaceDN w:val="0"/>
        <w:adjustRightInd w:val="0"/>
        <w:snapToGrid w:val="0"/>
        <w:spacing w:line="460" w:lineRule="atLeast"/>
        <w:jc w:val="both"/>
        <w:rPr>
          <w:rFonts w:hint="eastAsia" w:ascii="宋体"/>
          <w:b/>
          <w:sz w:val="40"/>
          <w:szCs w:val="40"/>
        </w:rPr>
      </w:pPr>
    </w:p>
    <w:p>
      <w:pPr>
        <w:pStyle w:val="2"/>
        <w:rPr>
          <w:rFonts w:hint="eastAsia"/>
        </w:rPr>
      </w:pPr>
    </w:p>
    <w:p>
      <w:pPr>
        <w:autoSpaceDE w:val="0"/>
        <w:autoSpaceDN w:val="0"/>
        <w:adjustRightInd w:val="0"/>
        <w:snapToGrid w:val="0"/>
        <w:spacing w:line="460" w:lineRule="atLeast"/>
        <w:jc w:val="center"/>
        <w:rPr>
          <w:rFonts w:hint="eastAsia" w:ascii="宋体" w:eastAsia="宋体"/>
          <w:b/>
          <w:sz w:val="40"/>
          <w:szCs w:val="40"/>
          <w:lang w:eastAsia="zh-CN"/>
        </w:rPr>
      </w:pPr>
      <w:r>
        <w:rPr>
          <w:rFonts w:hint="eastAsia" w:ascii="宋体"/>
          <w:b/>
          <w:sz w:val="40"/>
          <w:szCs w:val="40"/>
        </w:rPr>
        <w:t>平阳县宋埠站位水质提升与水质稳定</w:t>
      </w:r>
      <w:r>
        <w:rPr>
          <w:rFonts w:hint="eastAsia" w:ascii="宋体"/>
          <w:b/>
          <w:sz w:val="40"/>
          <w:szCs w:val="40"/>
          <w:lang w:eastAsia="zh-CN"/>
        </w:rPr>
        <w:t>项目采购</w:t>
      </w:r>
    </w:p>
    <w:p>
      <w:pPr>
        <w:autoSpaceDE w:val="0"/>
        <w:autoSpaceDN w:val="0"/>
        <w:adjustRightInd w:val="0"/>
        <w:snapToGrid w:val="0"/>
        <w:spacing w:line="460" w:lineRule="atLeast"/>
        <w:jc w:val="center"/>
        <w:rPr>
          <w:rFonts w:ascii="宋体"/>
          <w:b/>
          <w:sz w:val="40"/>
          <w:szCs w:val="40"/>
        </w:rPr>
      </w:pPr>
      <w:r>
        <w:rPr>
          <w:rFonts w:hint="eastAsia" w:ascii="宋体"/>
          <w:b/>
          <w:sz w:val="40"/>
          <w:szCs w:val="40"/>
        </w:rPr>
        <w:t>督查考核评分办法（试行）</w:t>
      </w:r>
    </w:p>
    <w:p>
      <w:pPr>
        <w:autoSpaceDE w:val="0"/>
        <w:autoSpaceDN w:val="0"/>
        <w:adjustRightInd w:val="0"/>
        <w:snapToGrid w:val="0"/>
        <w:spacing w:line="460" w:lineRule="atLeast"/>
        <w:ind w:left="1" w:firstLine="440" w:firstLineChars="199"/>
        <w:rPr>
          <w:rFonts w:ascii="宋体"/>
          <w:b/>
          <w:sz w:val="22"/>
          <w:szCs w:val="22"/>
        </w:rPr>
      </w:pPr>
      <w:r>
        <w:rPr>
          <w:rFonts w:hint="eastAsia" w:ascii="宋体"/>
          <w:b/>
          <w:sz w:val="22"/>
          <w:szCs w:val="22"/>
        </w:rPr>
        <w:t>一、考核方法</w:t>
      </w:r>
    </w:p>
    <w:p>
      <w:pPr>
        <w:spacing w:line="400" w:lineRule="exact"/>
        <w:ind w:firstLine="440" w:firstLineChars="200"/>
        <w:rPr>
          <w:rFonts w:ascii="宋体"/>
          <w:sz w:val="22"/>
          <w:szCs w:val="22"/>
        </w:rPr>
      </w:pPr>
      <w:r>
        <w:rPr>
          <w:rFonts w:hint="eastAsia" w:ascii="宋体"/>
          <w:sz w:val="22"/>
          <w:szCs w:val="22"/>
        </w:rPr>
        <w:t>采用100分制考核办法，满分为100分，由平阳县海西镇人民政府组织实施，对平阳县宋埠站位水质提升与水质稳定服务工作进行考核（不定时检查，每月一考核）。</w:t>
      </w:r>
      <w:r>
        <w:rPr>
          <w:rFonts w:hint="eastAsia" w:ascii="宋体" w:hAnsi="宋体"/>
          <w:bCs/>
          <w:sz w:val="22"/>
          <w:szCs w:val="22"/>
        </w:rPr>
        <w:t>根据每次考核的分值结果，直接在付款额</w:t>
      </w:r>
      <w:r>
        <w:rPr>
          <w:rFonts w:hint="eastAsia" w:ascii="宋体" w:hAnsi="宋体"/>
          <w:bCs/>
          <w:sz w:val="22"/>
          <w:szCs w:val="22"/>
          <w:u w:val="single"/>
        </w:rPr>
        <w:t>中扣除相应处罚金额。</w:t>
      </w:r>
    </w:p>
    <w:p>
      <w:pPr>
        <w:autoSpaceDE w:val="0"/>
        <w:autoSpaceDN w:val="0"/>
        <w:adjustRightInd w:val="0"/>
        <w:snapToGrid w:val="0"/>
        <w:spacing w:line="460" w:lineRule="atLeast"/>
        <w:ind w:left="1" w:firstLine="440" w:firstLineChars="199"/>
        <w:rPr>
          <w:rFonts w:ascii="宋体"/>
          <w:b/>
          <w:sz w:val="22"/>
          <w:szCs w:val="22"/>
        </w:rPr>
      </w:pPr>
      <w:r>
        <w:rPr>
          <w:rFonts w:hint="eastAsia" w:ascii="宋体"/>
          <w:b/>
          <w:sz w:val="22"/>
          <w:szCs w:val="22"/>
        </w:rPr>
        <w:t>二、考核内容</w:t>
      </w:r>
    </w:p>
    <w:p>
      <w:pPr>
        <w:snapToGrid w:val="0"/>
        <w:spacing w:line="460" w:lineRule="atLeast"/>
        <w:ind w:firstLine="220" w:firstLineChars="100"/>
        <w:rPr>
          <w:sz w:val="22"/>
          <w:szCs w:val="22"/>
        </w:rPr>
      </w:pPr>
      <w:r>
        <w:rPr>
          <w:rFonts w:hint="eastAsia"/>
          <w:sz w:val="22"/>
          <w:szCs w:val="22"/>
        </w:rPr>
        <w:t>（1）日常维护及河面保洁</w:t>
      </w:r>
    </w:p>
    <w:p>
      <w:pPr>
        <w:snapToGrid w:val="0"/>
        <w:spacing w:line="460" w:lineRule="atLeast"/>
        <w:ind w:firstLine="220" w:firstLineChars="100"/>
        <w:rPr>
          <w:sz w:val="22"/>
          <w:szCs w:val="22"/>
        </w:rPr>
      </w:pPr>
      <w:r>
        <w:rPr>
          <w:rFonts w:hint="eastAsia"/>
          <w:sz w:val="22"/>
          <w:szCs w:val="22"/>
        </w:rPr>
        <w:t>（2）水生植物维护</w:t>
      </w:r>
    </w:p>
    <w:p>
      <w:pPr>
        <w:snapToGrid w:val="0"/>
        <w:spacing w:line="460" w:lineRule="atLeast"/>
        <w:ind w:firstLine="220" w:firstLineChars="100"/>
        <w:rPr>
          <w:sz w:val="22"/>
          <w:szCs w:val="22"/>
        </w:rPr>
      </w:pPr>
      <w:r>
        <w:rPr>
          <w:rFonts w:hint="eastAsia"/>
          <w:sz w:val="22"/>
          <w:szCs w:val="22"/>
        </w:rPr>
        <w:t>（3）人工水草的养护要求</w:t>
      </w:r>
    </w:p>
    <w:p>
      <w:pPr>
        <w:snapToGrid w:val="0"/>
        <w:spacing w:line="460" w:lineRule="atLeast"/>
        <w:ind w:firstLine="220" w:firstLineChars="100"/>
        <w:rPr>
          <w:sz w:val="22"/>
          <w:szCs w:val="22"/>
        </w:rPr>
      </w:pPr>
      <w:r>
        <w:rPr>
          <w:rFonts w:hint="eastAsia"/>
          <w:sz w:val="22"/>
          <w:szCs w:val="22"/>
        </w:rPr>
        <w:t>（4）</w:t>
      </w:r>
      <w:r>
        <w:rPr>
          <w:rFonts w:hint="eastAsia"/>
          <w:sz w:val="22"/>
          <w:szCs w:val="22"/>
          <w:lang w:val="en-US" w:eastAsia="zh-CN"/>
        </w:rPr>
        <w:t>设施</w:t>
      </w:r>
      <w:r>
        <w:rPr>
          <w:rFonts w:hint="eastAsia"/>
          <w:sz w:val="22"/>
          <w:szCs w:val="22"/>
        </w:rPr>
        <w:t>设备运维</w:t>
      </w:r>
    </w:p>
    <w:p>
      <w:pPr>
        <w:snapToGrid w:val="0"/>
        <w:spacing w:line="460" w:lineRule="atLeast"/>
        <w:ind w:firstLine="220" w:firstLineChars="100"/>
        <w:rPr>
          <w:sz w:val="22"/>
          <w:szCs w:val="22"/>
        </w:rPr>
      </w:pPr>
      <w:r>
        <w:rPr>
          <w:rFonts w:hint="eastAsia"/>
          <w:sz w:val="22"/>
          <w:szCs w:val="22"/>
        </w:rPr>
        <w:t>（5）水质维护</w:t>
      </w:r>
    </w:p>
    <w:p>
      <w:pPr>
        <w:snapToGrid w:val="0"/>
        <w:spacing w:line="460" w:lineRule="atLeast"/>
        <w:ind w:firstLine="220" w:firstLineChars="100"/>
        <w:rPr>
          <w:sz w:val="22"/>
          <w:szCs w:val="22"/>
        </w:rPr>
      </w:pPr>
      <w:r>
        <w:rPr>
          <w:rFonts w:hint="eastAsia"/>
          <w:sz w:val="22"/>
          <w:szCs w:val="22"/>
        </w:rPr>
        <w:t>（6）安全作业</w:t>
      </w:r>
    </w:p>
    <w:p>
      <w:pPr>
        <w:snapToGrid w:val="0"/>
        <w:spacing w:line="460" w:lineRule="atLeast"/>
        <w:ind w:firstLine="220" w:firstLineChars="100"/>
        <w:rPr>
          <w:sz w:val="22"/>
          <w:szCs w:val="22"/>
        </w:rPr>
      </w:pPr>
      <w:r>
        <w:rPr>
          <w:rFonts w:hint="eastAsia"/>
          <w:sz w:val="22"/>
          <w:szCs w:val="22"/>
        </w:rPr>
        <w:t>（7）售后服务</w:t>
      </w:r>
    </w:p>
    <w:p>
      <w:pPr>
        <w:pStyle w:val="11"/>
      </w:pPr>
    </w:p>
    <w:p>
      <w:pPr>
        <w:autoSpaceDE w:val="0"/>
        <w:autoSpaceDN w:val="0"/>
        <w:adjustRightInd w:val="0"/>
        <w:snapToGrid w:val="0"/>
        <w:spacing w:line="460" w:lineRule="atLeast"/>
        <w:ind w:left="1" w:firstLine="440" w:firstLineChars="199"/>
        <w:rPr>
          <w:rFonts w:ascii="宋体"/>
          <w:b/>
          <w:sz w:val="22"/>
          <w:szCs w:val="22"/>
        </w:rPr>
      </w:pPr>
      <w:r>
        <w:rPr>
          <w:rFonts w:hint="eastAsia" w:ascii="宋体"/>
          <w:b/>
          <w:sz w:val="22"/>
          <w:szCs w:val="22"/>
        </w:rPr>
        <w:t>三、考核标准</w:t>
      </w:r>
    </w:p>
    <w:p>
      <w:pPr>
        <w:autoSpaceDE w:val="0"/>
        <w:autoSpaceDN w:val="0"/>
        <w:adjustRightInd w:val="0"/>
        <w:snapToGrid w:val="0"/>
        <w:spacing w:line="460" w:lineRule="atLeast"/>
        <w:ind w:left="1" w:firstLine="437" w:firstLineChars="199"/>
        <w:rPr>
          <w:rFonts w:ascii="宋体"/>
          <w:sz w:val="22"/>
          <w:szCs w:val="22"/>
        </w:rPr>
      </w:pPr>
      <w:r>
        <w:rPr>
          <w:rFonts w:hint="eastAsia" w:ascii="宋体"/>
          <w:sz w:val="22"/>
          <w:szCs w:val="22"/>
        </w:rPr>
        <w:t>（一）日常维护及河面保洁</w:t>
      </w:r>
    </w:p>
    <w:p>
      <w:pPr>
        <w:snapToGrid w:val="0"/>
        <w:spacing w:line="460" w:lineRule="atLeast"/>
        <w:ind w:firstLine="420" w:firstLineChars="200"/>
      </w:pPr>
      <w:r>
        <w:rPr>
          <w:rFonts w:hint="eastAsia"/>
        </w:rPr>
        <w:t>1.日常巡查每周不少于三次，每少一次扣1分；</w:t>
      </w:r>
    </w:p>
    <w:p>
      <w:pPr>
        <w:snapToGrid w:val="0"/>
        <w:spacing w:line="460" w:lineRule="atLeast"/>
        <w:ind w:firstLine="420" w:firstLineChars="200"/>
      </w:pPr>
      <w:r>
        <w:rPr>
          <w:rFonts w:hint="eastAsia"/>
        </w:rPr>
        <w:t>2.未及时更换破损的浮盘、框架等材料每例扣1分；</w:t>
      </w:r>
    </w:p>
    <w:p>
      <w:pPr>
        <w:snapToGrid w:val="0"/>
        <w:spacing w:line="460" w:lineRule="atLeast"/>
        <w:ind w:firstLine="420" w:firstLineChars="200"/>
      </w:pPr>
      <w:r>
        <w:rPr>
          <w:rFonts w:hint="eastAsia"/>
        </w:rPr>
        <w:t>3.未及时清理河面的杂物或垃圾，每例扣0.5分；</w:t>
      </w:r>
    </w:p>
    <w:p>
      <w:pPr>
        <w:autoSpaceDE w:val="0"/>
        <w:autoSpaceDN w:val="0"/>
        <w:adjustRightInd w:val="0"/>
        <w:snapToGrid w:val="0"/>
        <w:spacing w:line="460" w:lineRule="atLeast"/>
        <w:ind w:firstLine="440" w:firstLineChars="200"/>
        <w:rPr>
          <w:rFonts w:ascii="宋体" w:hAnsi="宋体"/>
          <w:sz w:val="22"/>
          <w:szCs w:val="22"/>
        </w:rPr>
      </w:pPr>
      <w:r>
        <w:rPr>
          <w:rFonts w:hint="eastAsia" w:ascii="宋体"/>
          <w:sz w:val="22"/>
          <w:szCs w:val="22"/>
        </w:rPr>
        <w:t>（二）</w:t>
      </w:r>
      <w:r>
        <w:rPr>
          <w:sz w:val="22"/>
          <w:szCs w:val="22"/>
        </w:rPr>
        <w:t>水生植物的养护</w:t>
      </w:r>
    </w:p>
    <w:p>
      <w:pPr>
        <w:autoSpaceDE w:val="0"/>
        <w:autoSpaceDN w:val="0"/>
        <w:adjustRightInd w:val="0"/>
        <w:snapToGrid w:val="0"/>
        <w:spacing w:line="460" w:lineRule="atLeast"/>
        <w:ind w:firstLine="440" w:firstLineChars="200"/>
        <w:rPr>
          <w:rFonts w:ascii="宋体"/>
          <w:sz w:val="22"/>
          <w:szCs w:val="22"/>
        </w:rPr>
      </w:pPr>
      <w:r>
        <w:rPr>
          <w:rFonts w:hint="eastAsia" w:ascii="宋体"/>
          <w:sz w:val="22"/>
          <w:szCs w:val="22"/>
        </w:rPr>
        <w:t>1.未及时收割水生植物，每例扣0.5分；</w:t>
      </w:r>
    </w:p>
    <w:p>
      <w:pPr>
        <w:autoSpaceDE w:val="0"/>
        <w:autoSpaceDN w:val="0"/>
        <w:adjustRightInd w:val="0"/>
        <w:snapToGrid w:val="0"/>
        <w:spacing w:line="460" w:lineRule="atLeast"/>
        <w:ind w:firstLine="440" w:firstLineChars="200"/>
        <w:rPr>
          <w:rFonts w:ascii="宋体"/>
          <w:sz w:val="22"/>
          <w:szCs w:val="22"/>
        </w:rPr>
      </w:pPr>
      <w:r>
        <w:rPr>
          <w:rFonts w:hint="eastAsia" w:ascii="宋体"/>
          <w:sz w:val="22"/>
          <w:szCs w:val="22"/>
        </w:rPr>
        <w:t>2.未让植物安全越冬，每例扣0.5分；</w:t>
      </w:r>
    </w:p>
    <w:p>
      <w:pPr>
        <w:autoSpaceDE w:val="0"/>
        <w:autoSpaceDN w:val="0"/>
        <w:adjustRightInd w:val="0"/>
        <w:snapToGrid w:val="0"/>
        <w:spacing w:line="460" w:lineRule="atLeast"/>
        <w:ind w:firstLine="440" w:firstLineChars="200"/>
        <w:rPr>
          <w:rFonts w:ascii="宋体"/>
          <w:sz w:val="22"/>
          <w:szCs w:val="22"/>
        </w:rPr>
      </w:pPr>
      <w:r>
        <w:rPr>
          <w:rFonts w:hint="eastAsia" w:ascii="宋体"/>
          <w:sz w:val="22"/>
          <w:szCs w:val="22"/>
        </w:rPr>
        <w:t>3.未及时防治病虫害，每例扣0.5分；</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（三）</w:t>
      </w:r>
      <w:r>
        <w:rPr>
          <w:sz w:val="22"/>
          <w:szCs w:val="22"/>
        </w:rPr>
        <w:t>人工水草的养护要求</w:t>
      </w:r>
    </w:p>
    <w:p>
      <w:pPr>
        <w:autoSpaceDE w:val="0"/>
        <w:autoSpaceDN w:val="0"/>
        <w:adjustRightInd w:val="0"/>
        <w:snapToGrid w:val="0"/>
        <w:spacing w:line="460" w:lineRule="atLeast"/>
        <w:ind w:left="439" w:leftChars="209"/>
        <w:rPr>
          <w:rFonts w:ascii="宋体" w:hAnsi="宋体"/>
          <w:sz w:val="22"/>
          <w:szCs w:val="22"/>
        </w:rPr>
      </w:pPr>
      <w:r>
        <w:rPr>
          <w:rFonts w:hint="eastAsia" w:ascii="宋体" w:hAnsi="宋体"/>
          <w:sz w:val="22"/>
          <w:szCs w:val="22"/>
        </w:rPr>
        <w:t xml:space="preserve">1.未及时更换/处理或维护加固水草，每次扣0.5分； </w:t>
      </w:r>
    </w:p>
    <w:p>
      <w:pPr>
        <w:autoSpaceDE w:val="0"/>
        <w:autoSpaceDN w:val="0"/>
        <w:adjustRightInd w:val="0"/>
        <w:snapToGrid w:val="0"/>
        <w:spacing w:line="460" w:lineRule="atLeast"/>
        <w:ind w:left="418" w:leftChars="199"/>
        <w:rPr>
          <w:rFonts w:ascii="宋体" w:hAnsi="宋体"/>
          <w:sz w:val="22"/>
          <w:szCs w:val="22"/>
        </w:rPr>
      </w:pPr>
      <w:r>
        <w:rPr>
          <w:rFonts w:hint="eastAsia" w:ascii="宋体" w:hAnsi="宋体"/>
          <w:sz w:val="22"/>
          <w:szCs w:val="22"/>
        </w:rPr>
        <w:t>（四）</w:t>
      </w:r>
      <w:r>
        <w:rPr>
          <w:rFonts w:hint="eastAsia"/>
          <w:sz w:val="22"/>
          <w:szCs w:val="22"/>
          <w:lang w:val="en-US" w:eastAsia="zh-CN"/>
        </w:rPr>
        <w:t>设施</w:t>
      </w:r>
      <w:r>
        <w:rPr>
          <w:rFonts w:hint="eastAsia" w:ascii="宋体" w:hAnsi="宋体"/>
          <w:sz w:val="22"/>
          <w:szCs w:val="22"/>
        </w:rPr>
        <w:t>设备运维：</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1、每周定期巡检，每少一次扣1分</w:t>
      </w:r>
    </w:p>
    <w:p>
      <w:pPr>
        <w:autoSpaceDE w:val="0"/>
        <w:autoSpaceDN w:val="0"/>
        <w:adjustRightInd w:val="0"/>
        <w:snapToGrid w:val="0"/>
        <w:spacing w:line="460" w:lineRule="atLeast"/>
        <w:ind w:left="1" w:firstLine="437" w:firstLineChars="199"/>
      </w:pPr>
      <w:r>
        <w:rPr>
          <w:rFonts w:hint="eastAsia" w:ascii="宋体" w:hAnsi="宋体"/>
          <w:sz w:val="22"/>
          <w:szCs w:val="22"/>
        </w:rPr>
        <w:t>2、未及时清理周围漂浮物和垃圾，</w:t>
      </w:r>
      <w:r>
        <w:rPr>
          <w:rFonts w:hint="eastAsia"/>
        </w:rPr>
        <w:t>每例扣1分；</w:t>
      </w:r>
    </w:p>
    <w:p>
      <w:pPr>
        <w:autoSpaceDE w:val="0"/>
        <w:autoSpaceDN w:val="0"/>
        <w:adjustRightInd w:val="0"/>
        <w:snapToGrid w:val="0"/>
        <w:spacing w:line="460" w:lineRule="atLeast"/>
        <w:ind w:left="418" w:leftChars="199"/>
        <w:rPr>
          <w:rFonts w:ascii="宋体" w:hAnsi="宋体"/>
          <w:sz w:val="22"/>
          <w:szCs w:val="22"/>
        </w:rPr>
      </w:pPr>
      <w:r>
        <w:rPr>
          <w:rFonts w:hint="eastAsia" w:ascii="宋体" w:hAnsi="宋体"/>
          <w:sz w:val="22"/>
          <w:szCs w:val="22"/>
        </w:rPr>
        <w:t>（五）</w:t>
      </w:r>
      <w:r>
        <w:rPr>
          <w:sz w:val="22"/>
          <w:szCs w:val="22"/>
        </w:rPr>
        <w:t>水质维护</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1.每月定期投放微生物制剂并做好记录，每少一次扣2分；</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2.每个月对河道进行4次取样监测，每少一次扣1分；</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3.垃圾打捞上岸未送到采购人指定临时堆放点。每处扣1分；</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4.每月水质考核通报中出现治理段水质主要指标（溶解氧、高锰酸盐指数、氨氮、总磷、COD、透明度、PH值）没有达到地表水环境质量标准（GB3838-2002）Ⅳ类水标准，当月考核不合格；</w:t>
      </w:r>
    </w:p>
    <w:p>
      <w:pPr>
        <w:autoSpaceDE w:val="0"/>
        <w:autoSpaceDN w:val="0"/>
        <w:adjustRightInd w:val="0"/>
        <w:snapToGrid w:val="0"/>
        <w:spacing w:line="460" w:lineRule="atLeast"/>
        <w:ind w:firstLine="420" w:firstLineChars="200"/>
        <w:rPr>
          <w:sz w:val="22"/>
          <w:szCs w:val="22"/>
        </w:rPr>
      </w:pPr>
      <w:r>
        <w:rPr>
          <w:rFonts w:hint="eastAsia" w:ascii="宋体" w:hAnsi="宋体"/>
          <w:szCs w:val="21"/>
        </w:rPr>
        <w:t>（六）</w:t>
      </w:r>
      <w:r>
        <w:rPr>
          <w:rFonts w:hint="eastAsia"/>
          <w:sz w:val="22"/>
          <w:szCs w:val="22"/>
        </w:rPr>
        <w:t>安全作业</w:t>
      </w:r>
    </w:p>
    <w:p>
      <w:pPr>
        <w:autoSpaceDE w:val="0"/>
        <w:autoSpaceDN w:val="0"/>
        <w:adjustRightInd w:val="0"/>
        <w:snapToGrid w:val="0"/>
        <w:spacing w:line="460" w:lineRule="atLeast"/>
        <w:ind w:firstLine="440" w:firstLineChars="200"/>
        <w:rPr>
          <w:rFonts w:ascii="宋体" w:hAnsi="宋体"/>
          <w:sz w:val="22"/>
          <w:szCs w:val="22"/>
        </w:rPr>
      </w:pPr>
      <w:r>
        <w:rPr>
          <w:rFonts w:hint="eastAsia" w:ascii="宋体" w:hAnsi="宋体"/>
          <w:sz w:val="22"/>
          <w:szCs w:val="22"/>
        </w:rPr>
        <w:t>1.发生安全事故的，扣5分，若由于中标人原因导致情节严重，采购人有权直接解除合同；</w:t>
      </w:r>
    </w:p>
    <w:p>
      <w:pPr>
        <w:autoSpaceDE w:val="0"/>
        <w:autoSpaceDN w:val="0"/>
        <w:adjustRightInd w:val="0"/>
        <w:snapToGrid w:val="0"/>
        <w:spacing w:line="460" w:lineRule="atLeast"/>
        <w:ind w:firstLine="440" w:firstLineChars="200"/>
        <w:rPr>
          <w:rFonts w:ascii="宋体" w:hAnsi="宋体"/>
          <w:sz w:val="22"/>
          <w:szCs w:val="22"/>
        </w:rPr>
      </w:pPr>
      <w:r>
        <w:rPr>
          <w:rFonts w:hint="eastAsia" w:ascii="宋体" w:hAnsi="宋体"/>
          <w:sz w:val="22"/>
          <w:szCs w:val="22"/>
        </w:rPr>
        <w:t>2.工作人员上岗不按规定着装或不穿救生衣的，每人扣1分；</w:t>
      </w:r>
    </w:p>
    <w:p>
      <w:pPr>
        <w:autoSpaceDE w:val="0"/>
        <w:autoSpaceDN w:val="0"/>
        <w:adjustRightInd w:val="0"/>
        <w:snapToGrid w:val="0"/>
        <w:spacing w:line="460" w:lineRule="atLeast"/>
        <w:ind w:firstLine="440" w:firstLineChars="200"/>
        <w:rPr>
          <w:rFonts w:ascii="宋体" w:hAnsi="宋体"/>
          <w:szCs w:val="21"/>
        </w:rPr>
      </w:pPr>
      <w:r>
        <w:rPr>
          <w:rFonts w:hint="eastAsia" w:ascii="宋体" w:hAnsi="宋体"/>
          <w:sz w:val="22"/>
          <w:szCs w:val="22"/>
        </w:rPr>
        <w:t>3</w:t>
      </w:r>
      <w:r>
        <w:rPr>
          <w:rFonts w:hint="eastAsia" w:ascii="宋体" w:hAnsi="宋体"/>
          <w:szCs w:val="21"/>
        </w:rPr>
        <w:t>.工作人员酒后作业的，每发现一例扣5分；</w:t>
      </w:r>
    </w:p>
    <w:p>
      <w:pPr>
        <w:autoSpaceDE w:val="0"/>
        <w:autoSpaceDN w:val="0"/>
        <w:adjustRightInd w:val="0"/>
        <w:snapToGrid w:val="0"/>
        <w:spacing w:line="460" w:lineRule="atLeast"/>
        <w:ind w:firstLine="420" w:firstLineChars="200"/>
        <w:rPr>
          <w:rFonts w:ascii="宋体" w:hAnsi="宋体"/>
          <w:szCs w:val="21"/>
        </w:rPr>
      </w:pPr>
      <w:r>
        <w:rPr>
          <w:rFonts w:hint="eastAsia" w:ascii="宋体" w:hAnsi="宋体"/>
          <w:szCs w:val="21"/>
        </w:rPr>
        <w:t>（七）售后服务</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1.针对业主指出的相关问题须整改到位，未在规定时间内按要求及时整改到位的，每例扣5分；</w:t>
      </w:r>
    </w:p>
    <w:p>
      <w:pPr>
        <w:pStyle w:val="9"/>
        <w:ind w:firstLine="0" w:firstLineChars="0"/>
      </w:pPr>
    </w:p>
    <w:p>
      <w:pPr>
        <w:spacing w:line="400" w:lineRule="exact"/>
        <w:ind w:firstLine="442" w:firstLineChars="200"/>
        <w:rPr>
          <w:rFonts w:hint="eastAsia" w:ascii="宋体" w:hAnsi="宋体"/>
          <w:b/>
          <w:bCs/>
          <w:sz w:val="22"/>
          <w:szCs w:val="22"/>
        </w:rPr>
      </w:pPr>
      <w:r>
        <w:rPr>
          <w:rFonts w:hint="eastAsia" w:ascii="宋体" w:hAnsi="宋体"/>
          <w:b/>
          <w:bCs/>
          <w:sz w:val="22"/>
          <w:szCs w:val="22"/>
        </w:rPr>
        <w:t>注：</w:t>
      </w:r>
    </w:p>
    <w:p>
      <w:pPr>
        <w:spacing w:line="400" w:lineRule="exact"/>
        <w:ind w:firstLine="442" w:firstLineChars="200"/>
        <w:rPr>
          <w:rFonts w:ascii="宋体" w:hAnsi="宋体"/>
          <w:b/>
          <w:bCs/>
          <w:color w:val="auto"/>
          <w:sz w:val="22"/>
          <w:szCs w:val="22"/>
        </w:rPr>
      </w:pPr>
      <w:r>
        <w:rPr>
          <w:rFonts w:hint="eastAsia" w:ascii="宋体" w:hAnsi="宋体"/>
          <w:b/>
          <w:bCs/>
          <w:color w:val="auto"/>
          <w:sz w:val="22"/>
          <w:szCs w:val="22"/>
          <w:lang w:val="en-US" w:eastAsia="zh-CN"/>
        </w:rPr>
        <w:t>（1）</w:t>
      </w:r>
      <w:r>
        <w:rPr>
          <w:rFonts w:hint="eastAsia" w:ascii="宋体" w:hAnsi="宋体"/>
          <w:b/>
          <w:bCs/>
          <w:color w:val="auto"/>
          <w:sz w:val="22"/>
          <w:szCs w:val="22"/>
        </w:rPr>
        <w:t>每月环保等部门对本项目治理段水质取样检测，治理段水质主要指标（溶解氧、高锰酸盐指数、氨氮、总磷、COD、透明度、PH值）达到地表水环境质量标准（GB3838-2002）Ⅳ类水标准，水体不允许出现黑臭现象。</w:t>
      </w:r>
    </w:p>
    <w:p>
      <w:pPr>
        <w:spacing w:line="400" w:lineRule="exact"/>
        <w:ind w:firstLine="442" w:firstLineChars="200"/>
        <w:rPr>
          <w:rFonts w:ascii="宋体" w:hAnsi="宋体"/>
          <w:b/>
          <w:bCs/>
          <w:color w:val="auto"/>
          <w:sz w:val="22"/>
          <w:szCs w:val="22"/>
        </w:rPr>
      </w:pPr>
      <w:r>
        <w:rPr>
          <w:rFonts w:hint="eastAsia" w:ascii="宋体" w:hAnsi="宋体"/>
          <w:b/>
          <w:bCs/>
          <w:color w:val="auto"/>
          <w:sz w:val="22"/>
          <w:szCs w:val="22"/>
          <w:lang w:val="en-US" w:eastAsia="zh-CN"/>
        </w:rPr>
        <w:t>（2）</w:t>
      </w:r>
      <w:r>
        <w:rPr>
          <w:rFonts w:hint="eastAsia" w:ascii="宋体" w:hAnsi="宋体"/>
          <w:b/>
          <w:bCs/>
          <w:color w:val="auto"/>
          <w:sz w:val="22"/>
          <w:szCs w:val="22"/>
        </w:rPr>
        <w:t>如乙方本月考核综合得分，未达到90分，则按比例扣除费用。具体扣除方法：当月得分在90分至80分之间（含），每降低一分扣</w:t>
      </w:r>
      <w:r>
        <w:rPr>
          <w:rFonts w:hint="eastAsia" w:ascii="宋体" w:hAnsi="宋体"/>
          <w:b/>
          <w:bCs/>
          <w:color w:val="auto"/>
          <w:sz w:val="22"/>
          <w:szCs w:val="22"/>
          <w:lang w:val="en-US" w:eastAsia="zh-CN"/>
        </w:rPr>
        <w:t>2</w:t>
      </w:r>
      <w:r>
        <w:rPr>
          <w:rFonts w:hint="eastAsia" w:ascii="宋体" w:hAnsi="宋体"/>
          <w:b/>
          <w:bCs/>
          <w:color w:val="auto"/>
          <w:sz w:val="22"/>
          <w:szCs w:val="22"/>
        </w:rPr>
        <w:t>000元；当月得分在80分以下或当月市对县或县对镇的水质情况通报中水质考核通报中出现治理段水质主要指标（溶解氧、高锰酸盐指数、氨氮、总磷、COD、透明度、PH值）没有达到地表水环境质量标准（GB3838-2002）Ⅳ类水标准，本月考核按不合格处理，不再另行扣分。考核不合格每次扣除</w:t>
      </w:r>
      <w:r>
        <w:rPr>
          <w:rFonts w:hint="eastAsia" w:ascii="宋体" w:hAnsi="宋体"/>
          <w:b/>
          <w:bCs/>
          <w:color w:val="auto"/>
          <w:sz w:val="22"/>
          <w:szCs w:val="22"/>
          <w:lang w:val="en-US" w:eastAsia="zh-CN"/>
        </w:rPr>
        <w:t>合同总金额的2%</w:t>
      </w:r>
      <w:r>
        <w:rPr>
          <w:rFonts w:hint="eastAsia" w:ascii="宋体" w:hAnsi="宋体"/>
          <w:b/>
          <w:bCs/>
          <w:color w:val="auto"/>
          <w:sz w:val="22"/>
          <w:szCs w:val="22"/>
        </w:rPr>
        <w:t>。</w:t>
      </w:r>
    </w:p>
    <w:p>
      <w:pPr>
        <w:spacing w:line="400" w:lineRule="exact"/>
        <w:ind w:firstLine="442" w:firstLineChars="200"/>
        <w:rPr>
          <w:b/>
          <w:bCs/>
          <w:color w:val="auto"/>
          <w:sz w:val="22"/>
          <w:szCs w:val="22"/>
        </w:rPr>
      </w:pPr>
      <w:r>
        <w:rPr>
          <w:rFonts w:hint="eastAsia" w:ascii="宋体" w:hAnsi="宋体"/>
          <w:b/>
          <w:bCs/>
          <w:color w:val="auto"/>
          <w:sz w:val="22"/>
          <w:szCs w:val="22"/>
          <w:lang w:val="en-US" w:eastAsia="zh-CN"/>
        </w:rPr>
        <w:t>（3）连续三次考核分数不合格或</w:t>
      </w:r>
      <w:r>
        <w:rPr>
          <w:rFonts w:hint="eastAsia" w:ascii="宋体" w:hAnsi="宋体"/>
          <w:b/>
          <w:bCs/>
          <w:color w:val="auto"/>
          <w:sz w:val="22"/>
          <w:szCs w:val="22"/>
        </w:rPr>
        <w:t>连续两次市对县或县对镇每月水质情况通报中出现治理段水质主要指标（溶解氧、高锰酸盐指数、氨氮、总磷、COD、透明度、PH值）没有达到地表水环境质量标准（GB3838-2002）Ⅳ类水标准</w:t>
      </w:r>
      <w:r>
        <w:rPr>
          <w:rFonts w:hint="eastAsia" w:ascii="宋体" w:hAnsi="宋体"/>
          <w:b/>
          <w:bCs/>
          <w:color w:val="auto"/>
          <w:sz w:val="22"/>
          <w:szCs w:val="22"/>
          <w:lang w:eastAsia="zh-CN"/>
        </w:rPr>
        <w:t>，</w:t>
      </w:r>
      <w:r>
        <w:rPr>
          <w:rFonts w:hint="eastAsia" w:ascii="宋体" w:hAnsi="宋体"/>
          <w:b/>
          <w:bCs/>
          <w:color w:val="auto"/>
          <w:sz w:val="22"/>
          <w:szCs w:val="22"/>
        </w:rPr>
        <w:t>或服务期累计出现6次治理段主要指标（</w:t>
      </w:r>
      <w:r>
        <w:rPr>
          <w:rFonts w:hint="eastAsia" w:ascii="宋体" w:hAnsi="宋体"/>
          <w:b/>
          <w:bCs/>
          <w:color w:val="auto"/>
          <w:sz w:val="22"/>
          <w:szCs w:val="22"/>
          <w:lang w:eastAsia="zh-CN"/>
        </w:rPr>
        <w:t>溶解氧、高锰酸盐指数、氨氮、总磷、COD、透明度、PH值</w:t>
      </w:r>
      <w:r>
        <w:rPr>
          <w:rFonts w:hint="eastAsia" w:ascii="宋体" w:hAnsi="宋体"/>
          <w:b/>
          <w:bCs/>
          <w:color w:val="auto"/>
          <w:sz w:val="22"/>
          <w:szCs w:val="22"/>
        </w:rPr>
        <w:t>）</w:t>
      </w:r>
      <w:r>
        <w:rPr>
          <w:rFonts w:hint="eastAsia" w:ascii="宋体" w:hAnsi="宋体"/>
          <w:b/>
          <w:bCs/>
          <w:color w:val="auto"/>
          <w:sz w:val="22"/>
          <w:szCs w:val="22"/>
          <w:lang w:eastAsia="zh-CN"/>
        </w:rPr>
        <w:t>没有</w:t>
      </w:r>
      <w:r>
        <w:rPr>
          <w:rFonts w:hint="eastAsia" w:ascii="宋体" w:hAnsi="宋体"/>
          <w:b/>
          <w:bCs/>
          <w:color w:val="auto"/>
          <w:sz w:val="22"/>
          <w:szCs w:val="22"/>
        </w:rPr>
        <w:t>达到地表水环境质量标准（GB3838-2002）Ⅳ类水标准的，视同中标单位违约，采购人有权单方终止本合同。</w:t>
      </w:r>
    </w:p>
    <w:p>
      <w:pPr>
        <w:spacing w:line="400" w:lineRule="exact"/>
        <w:rPr>
          <w:rFonts w:hint="eastAsia" w:ascii="宋体" w:hAnsi="宋体"/>
          <w:b/>
          <w:bCs/>
          <w:color w:val="auto"/>
          <w:sz w:val="22"/>
          <w:szCs w:val="22"/>
          <w:lang w:val="en-US" w:eastAsia="zh-CN"/>
        </w:rPr>
      </w:pPr>
    </w:p>
    <w:p>
      <w:pPr>
        <w:pStyle w:val="2"/>
        <w:rPr>
          <w:rFonts w:hint="eastAsia" w:ascii="宋体" w:hAnsi="宋体"/>
          <w:b/>
          <w:bCs/>
          <w:color w:val="auto"/>
          <w:sz w:val="22"/>
          <w:szCs w:val="22"/>
          <w:lang w:val="en-US" w:eastAsia="zh-CN"/>
        </w:rPr>
      </w:pPr>
    </w:p>
    <w:p>
      <w:pPr>
        <w:rPr>
          <w:rFonts w:hint="eastAsia" w:ascii="宋体" w:hAnsi="宋体"/>
          <w:b/>
          <w:bCs/>
          <w:color w:val="auto"/>
          <w:sz w:val="22"/>
          <w:szCs w:val="22"/>
          <w:lang w:val="en-US" w:eastAsia="zh-CN"/>
        </w:rPr>
      </w:pPr>
    </w:p>
    <w:p>
      <w:pPr>
        <w:rPr>
          <w:rFonts w:hint="eastAsia" w:ascii="宋体" w:hAnsi="宋体"/>
          <w:b/>
          <w:bCs/>
          <w:color w:val="auto"/>
          <w:sz w:val="22"/>
          <w:szCs w:val="22"/>
          <w:lang w:val="en-US" w:eastAsia="zh-CN"/>
        </w:rPr>
      </w:pPr>
    </w:p>
    <w:p>
      <w:pPr>
        <w:pStyle w:val="2"/>
        <w:rPr>
          <w:rFonts w:hint="eastAsia"/>
          <w:lang w:val="en-US" w:eastAsia="zh-CN"/>
        </w:rPr>
      </w:pPr>
    </w:p>
    <w:p>
      <w:pPr>
        <w:pStyle w:val="9"/>
        <w:ind w:firstLine="210"/>
      </w:pPr>
    </w:p>
    <w:p>
      <w:pPr>
        <w:rPr>
          <w:rFonts w:ascii="宋体" w:hAnsi="宋体"/>
          <w:sz w:val="22"/>
          <w:szCs w:val="22"/>
        </w:rPr>
      </w:pPr>
    </w:p>
    <w:p>
      <w:pPr>
        <w:pStyle w:val="9"/>
        <w:ind w:firstLine="0" w:firstLineChars="0"/>
      </w:pPr>
    </w:p>
    <w:p>
      <w:pPr>
        <w:jc w:val="center"/>
        <w:rPr>
          <w:rFonts w:ascii="宋体" w:hAnsi="宋体"/>
          <w:sz w:val="22"/>
          <w:szCs w:val="22"/>
        </w:rPr>
      </w:pPr>
      <w:r>
        <w:rPr>
          <w:rFonts w:hint="eastAsia" w:ascii="宋体" w:hAnsi="宋体"/>
          <w:sz w:val="22"/>
          <w:szCs w:val="22"/>
        </w:rPr>
        <w:t>附：平阳县宋埠站位水质提升与水质稳定</w:t>
      </w:r>
      <w:r>
        <w:rPr>
          <w:rFonts w:hint="eastAsia" w:ascii="宋体" w:hAnsi="宋体"/>
          <w:sz w:val="22"/>
          <w:szCs w:val="22"/>
          <w:lang w:eastAsia="zh-CN"/>
        </w:rPr>
        <w:t>项目采购</w:t>
      </w:r>
      <w:r>
        <w:rPr>
          <w:rFonts w:hint="eastAsia" w:ascii="宋体" w:hAnsi="宋体"/>
          <w:sz w:val="22"/>
          <w:szCs w:val="22"/>
        </w:rPr>
        <w:t>督查考核表</w:t>
      </w:r>
    </w:p>
    <w:p>
      <w:pPr>
        <w:pStyle w:val="9"/>
        <w:ind w:firstLine="210"/>
        <w:jc w:val="center"/>
      </w:pPr>
      <w:r>
        <w:rPr>
          <w:rFonts w:hint="eastAsia"/>
        </w:rPr>
        <w:t>（采购人可以根据实际要求作相应变更）</w:t>
      </w:r>
    </w:p>
    <w:tbl>
      <w:tblPr>
        <w:tblStyle w:val="41"/>
        <w:tblpPr w:leftFromText="180" w:rightFromText="180" w:vertAnchor="text" w:horzAnchor="page" w:tblpX="1110" w:tblpY="127"/>
        <w:tblOverlap w:val="never"/>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3227"/>
        <w:gridCol w:w="3526"/>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361" w:type="dxa"/>
            <w:vAlign w:val="center"/>
          </w:tcPr>
          <w:p>
            <w:pPr>
              <w:adjustRightInd w:val="0"/>
              <w:snapToGrid w:val="0"/>
              <w:spacing w:after="120" w:afterLines="50" w:line="300" w:lineRule="exact"/>
              <w:jc w:val="center"/>
              <w:rPr>
                <w:rFonts w:ascii="宋体" w:hAnsi="宋体"/>
                <w:sz w:val="22"/>
                <w:szCs w:val="22"/>
              </w:rPr>
            </w:pPr>
            <w:r>
              <w:rPr>
                <w:rFonts w:hint="eastAsia" w:ascii="宋体" w:hAnsi="宋体"/>
                <w:sz w:val="22"/>
                <w:szCs w:val="22"/>
              </w:rPr>
              <w:t>项目名称</w:t>
            </w:r>
          </w:p>
        </w:tc>
        <w:tc>
          <w:tcPr>
            <w:tcW w:w="6753" w:type="dxa"/>
            <w:gridSpan w:val="2"/>
            <w:vAlign w:val="center"/>
          </w:tcPr>
          <w:p>
            <w:pPr>
              <w:adjustRightInd w:val="0"/>
              <w:snapToGrid w:val="0"/>
              <w:spacing w:after="120" w:afterLines="50" w:line="300" w:lineRule="exact"/>
              <w:jc w:val="center"/>
              <w:rPr>
                <w:rFonts w:ascii="宋体" w:hAnsi="宋体"/>
                <w:sz w:val="22"/>
                <w:szCs w:val="22"/>
              </w:rPr>
            </w:pPr>
            <w:r>
              <w:rPr>
                <w:rFonts w:hint="eastAsia" w:ascii="宋体" w:hAnsi="宋体"/>
                <w:sz w:val="22"/>
                <w:szCs w:val="22"/>
              </w:rPr>
              <w:t>扣罚记分细则</w:t>
            </w:r>
          </w:p>
        </w:tc>
        <w:tc>
          <w:tcPr>
            <w:tcW w:w="1426" w:type="dxa"/>
            <w:vAlign w:val="center"/>
          </w:tcPr>
          <w:p>
            <w:pPr>
              <w:adjustRightInd w:val="0"/>
              <w:snapToGrid w:val="0"/>
              <w:spacing w:after="120" w:afterLines="50"/>
              <w:jc w:val="center"/>
            </w:pPr>
            <w:r>
              <w:rPr>
                <w:rFonts w:hint="eastAsia"/>
              </w:rPr>
              <w:t>采购人考核</w:t>
            </w:r>
          </w:p>
          <w:p>
            <w:pPr>
              <w:pStyle w:val="43"/>
              <w:spacing w:line="240" w:lineRule="auto"/>
            </w:pPr>
            <w:r>
              <w:rPr>
                <w:rFonts w:hint="eastAsia" w:ascii="宋体" w:hAnsi="宋体"/>
                <w:sz w:val="19"/>
                <w:szCs w:val="19"/>
              </w:rPr>
              <w:t>（满分100分）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ascii="宋体" w:hAnsi="宋体"/>
                <w:sz w:val="22"/>
                <w:szCs w:val="22"/>
              </w:rPr>
            </w:pPr>
            <w:r>
              <w:rPr>
                <w:rFonts w:hint="eastAsia"/>
                <w:sz w:val="22"/>
                <w:szCs w:val="22"/>
              </w:rPr>
              <w:t>日常维护及河面保洁</w:t>
            </w:r>
          </w:p>
        </w:tc>
        <w:tc>
          <w:tcPr>
            <w:tcW w:w="6753" w:type="dxa"/>
            <w:gridSpan w:val="2"/>
            <w:vMerge w:val="restart"/>
            <w:vAlign w:val="center"/>
          </w:tcPr>
          <w:p>
            <w:pPr>
              <w:snapToGrid w:val="0"/>
              <w:rPr>
                <w:rFonts w:ascii="宋体"/>
                <w:sz w:val="22"/>
                <w:szCs w:val="22"/>
              </w:rPr>
            </w:pPr>
            <w:r>
              <w:rPr>
                <w:rFonts w:hint="eastAsia" w:ascii="宋体"/>
                <w:sz w:val="22"/>
                <w:szCs w:val="22"/>
              </w:rPr>
              <w:t>1.日常巡查每周不少于三次，每少一次扣1分；</w:t>
            </w:r>
          </w:p>
          <w:p>
            <w:pPr>
              <w:snapToGrid w:val="0"/>
              <w:rPr>
                <w:rFonts w:ascii="宋体"/>
                <w:sz w:val="22"/>
                <w:szCs w:val="22"/>
              </w:rPr>
            </w:pPr>
            <w:r>
              <w:rPr>
                <w:rFonts w:hint="eastAsia" w:ascii="宋体"/>
                <w:sz w:val="22"/>
                <w:szCs w:val="22"/>
              </w:rPr>
              <w:t>2.未及时更换破损的浮盘、框架等材料每例扣1分；</w:t>
            </w:r>
          </w:p>
          <w:p>
            <w:pPr>
              <w:snapToGrid w:val="0"/>
              <w:rPr>
                <w:rFonts w:ascii="宋体"/>
                <w:sz w:val="22"/>
                <w:szCs w:val="22"/>
              </w:rPr>
            </w:pPr>
            <w:r>
              <w:rPr>
                <w:rFonts w:hint="eastAsia" w:ascii="宋体"/>
                <w:sz w:val="22"/>
                <w:szCs w:val="22"/>
              </w:rPr>
              <w:t>3.未及时清理河面的杂物或垃圾，每例扣0.5分；</w:t>
            </w:r>
          </w:p>
        </w:tc>
        <w:tc>
          <w:tcPr>
            <w:tcW w:w="1426" w:type="dxa"/>
            <w:vMerge w:val="restart"/>
            <w:vAlign w:val="center"/>
          </w:tcPr>
          <w:p>
            <w:pPr>
              <w:adjustRightInd w:val="0"/>
              <w:snapToGrid w:val="0"/>
              <w:spacing w:after="120" w:afterLines="50"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 w:hRule="atLeast"/>
        </w:trPr>
        <w:tc>
          <w:tcPr>
            <w:tcW w:w="1361" w:type="dxa"/>
            <w:vMerge w:val="continue"/>
            <w:vAlign w:val="center"/>
          </w:tcPr>
          <w:p>
            <w:pPr>
              <w:adjustRightInd w:val="0"/>
              <w:snapToGrid w:val="0"/>
              <w:spacing w:after="120" w:afterLines="50" w:line="300" w:lineRule="exact"/>
              <w:jc w:val="center"/>
              <w:rPr>
                <w:rFonts w:ascii="宋体" w:hAnsi="宋体"/>
                <w:sz w:val="22"/>
                <w:szCs w:val="22"/>
              </w:rPr>
            </w:pPr>
          </w:p>
        </w:tc>
        <w:tc>
          <w:tcPr>
            <w:tcW w:w="6753" w:type="dxa"/>
            <w:gridSpan w:val="2"/>
            <w:vMerge w:val="continue"/>
            <w:vAlign w:val="center"/>
          </w:tcPr>
          <w:p>
            <w:pPr>
              <w:adjustRightInd w:val="0"/>
              <w:snapToGrid w:val="0"/>
              <w:spacing w:after="120" w:afterLines="50" w:line="300" w:lineRule="exact"/>
              <w:jc w:val="center"/>
              <w:rPr>
                <w:rFonts w:ascii="宋体" w:hAnsi="宋体"/>
                <w:sz w:val="22"/>
                <w:szCs w:val="22"/>
              </w:rPr>
            </w:pPr>
          </w:p>
        </w:tc>
        <w:tc>
          <w:tcPr>
            <w:tcW w:w="1426" w:type="dxa"/>
            <w:vMerge w:val="continue"/>
            <w:vAlign w:val="center"/>
          </w:tcPr>
          <w:p>
            <w:pPr>
              <w:adjustRightInd w:val="0"/>
              <w:snapToGrid w:val="0"/>
              <w:spacing w:after="120" w:afterLines="50"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ascii="宋体" w:hAnsi="宋体"/>
                <w:sz w:val="22"/>
                <w:szCs w:val="22"/>
              </w:rPr>
            </w:pPr>
          </w:p>
        </w:tc>
        <w:tc>
          <w:tcPr>
            <w:tcW w:w="6753" w:type="dxa"/>
            <w:gridSpan w:val="2"/>
            <w:vMerge w:val="continue"/>
            <w:vAlign w:val="center"/>
          </w:tcPr>
          <w:p>
            <w:pPr>
              <w:adjustRightInd w:val="0"/>
              <w:snapToGrid w:val="0"/>
              <w:spacing w:after="120" w:afterLines="50" w:line="300" w:lineRule="exact"/>
              <w:jc w:val="center"/>
              <w:rPr>
                <w:rFonts w:ascii="宋体" w:hAnsi="宋体"/>
                <w:sz w:val="22"/>
                <w:szCs w:val="22"/>
              </w:rPr>
            </w:pPr>
          </w:p>
        </w:tc>
        <w:tc>
          <w:tcPr>
            <w:tcW w:w="1426" w:type="dxa"/>
            <w:vMerge w:val="continue"/>
            <w:vAlign w:val="center"/>
          </w:tcPr>
          <w:p>
            <w:pPr>
              <w:adjustRightInd w:val="0"/>
              <w:snapToGrid w:val="0"/>
              <w:spacing w:after="120" w:afterLines="50"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ascii="宋体" w:hAnsi="宋体"/>
                <w:sz w:val="22"/>
                <w:szCs w:val="22"/>
              </w:rPr>
            </w:pPr>
            <w:r>
              <w:rPr>
                <w:sz w:val="22"/>
                <w:szCs w:val="22"/>
              </w:rPr>
              <w:t>水生植物的养护</w:t>
            </w:r>
          </w:p>
        </w:tc>
        <w:tc>
          <w:tcPr>
            <w:tcW w:w="6753" w:type="dxa"/>
            <w:gridSpan w:val="2"/>
            <w:vMerge w:val="restart"/>
            <w:vAlign w:val="center"/>
          </w:tcPr>
          <w:p>
            <w:pPr>
              <w:autoSpaceDE w:val="0"/>
              <w:autoSpaceDN w:val="0"/>
              <w:adjustRightInd w:val="0"/>
              <w:snapToGrid w:val="0"/>
              <w:rPr>
                <w:rFonts w:ascii="宋体"/>
                <w:sz w:val="22"/>
                <w:szCs w:val="22"/>
              </w:rPr>
            </w:pPr>
            <w:r>
              <w:rPr>
                <w:rFonts w:hint="eastAsia" w:ascii="宋体"/>
                <w:sz w:val="22"/>
                <w:szCs w:val="22"/>
              </w:rPr>
              <w:t>1.未及时收割水生植物，每例扣0.5分；</w:t>
            </w:r>
          </w:p>
          <w:p>
            <w:pPr>
              <w:autoSpaceDE w:val="0"/>
              <w:autoSpaceDN w:val="0"/>
              <w:adjustRightInd w:val="0"/>
              <w:snapToGrid w:val="0"/>
              <w:rPr>
                <w:rFonts w:ascii="宋体"/>
                <w:sz w:val="22"/>
                <w:szCs w:val="22"/>
              </w:rPr>
            </w:pPr>
            <w:r>
              <w:rPr>
                <w:rFonts w:hint="eastAsia" w:ascii="宋体"/>
                <w:sz w:val="22"/>
                <w:szCs w:val="22"/>
              </w:rPr>
              <w:t>2.未让植物安全越冬，每例扣0.5分；</w:t>
            </w:r>
          </w:p>
          <w:p>
            <w:pPr>
              <w:autoSpaceDE w:val="0"/>
              <w:autoSpaceDN w:val="0"/>
              <w:adjustRightInd w:val="0"/>
              <w:snapToGrid w:val="0"/>
              <w:rPr>
                <w:rFonts w:ascii="宋体" w:hAnsi="宋体"/>
                <w:sz w:val="22"/>
                <w:szCs w:val="22"/>
              </w:rPr>
            </w:pPr>
            <w:r>
              <w:rPr>
                <w:rFonts w:hint="eastAsia" w:ascii="宋体"/>
                <w:sz w:val="22"/>
                <w:szCs w:val="22"/>
              </w:rPr>
              <w:t>3.未及时防治病虫害，每例扣0.5分；</w:t>
            </w:r>
          </w:p>
        </w:tc>
        <w:tc>
          <w:tcPr>
            <w:tcW w:w="1426" w:type="dxa"/>
            <w:vMerge w:val="restart"/>
            <w:vAlign w:val="center"/>
          </w:tcPr>
          <w:p>
            <w:pPr>
              <w:adjustRightInd w:val="0"/>
              <w:snapToGrid w:val="0"/>
              <w:spacing w:after="120" w:afterLines="50"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1361" w:type="dxa"/>
            <w:vMerge w:val="continue"/>
            <w:vAlign w:val="center"/>
          </w:tcPr>
          <w:p>
            <w:pPr>
              <w:adjustRightInd w:val="0"/>
              <w:snapToGrid w:val="0"/>
              <w:spacing w:after="120" w:afterLines="50" w:line="300" w:lineRule="exact"/>
              <w:jc w:val="center"/>
              <w:rPr>
                <w:rFonts w:ascii="宋体" w:hAnsi="宋体"/>
                <w:sz w:val="22"/>
                <w:szCs w:val="22"/>
              </w:rPr>
            </w:pPr>
          </w:p>
        </w:tc>
        <w:tc>
          <w:tcPr>
            <w:tcW w:w="6753" w:type="dxa"/>
            <w:gridSpan w:val="2"/>
            <w:vMerge w:val="continue"/>
            <w:vAlign w:val="center"/>
          </w:tcPr>
          <w:p>
            <w:pPr>
              <w:adjustRightInd w:val="0"/>
              <w:snapToGrid w:val="0"/>
              <w:spacing w:after="120" w:afterLines="50" w:line="300" w:lineRule="exact"/>
              <w:jc w:val="center"/>
              <w:rPr>
                <w:rFonts w:ascii="宋体" w:hAnsi="宋体"/>
                <w:sz w:val="22"/>
                <w:szCs w:val="22"/>
              </w:rPr>
            </w:pPr>
          </w:p>
        </w:tc>
        <w:tc>
          <w:tcPr>
            <w:tcW w:w="1426" w:type="dxa"/>
            <w:vMerge w:val="continue"/>
            <w:vAlign w:val="center"/>
          </w:tcPr>
          <w:p>
            <w:pPr>
              <w:adjustRightInd w:val="0"/>
              <w:snapToGrid w:val="0"/>
              <w:spacing w:after="120" w:afterLines="50"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9" w:hRule="atLeast"/>
        </w:trPr>
        <w:tc>
          <w:tcPr>
            <w:tcW w:w="1361" w:type="dxa"/>
            <w:vMerge w:val="restart"/>
            <w:vAlign w:val="center"/>
          </w:tcPr>
          <w:p>
            <w:pPr>
              <w:tabs>
                <w:tab w:val="left" w:pos="3230"/>
              </w:tabs>
              <w:jc w:val="left"/>
              <w:rPr>
                <w:rFonts w:ascii="宋体" w:hAnsi="宋体"/>
                <w:sz w:val="22"/>
                <w:szCs w:val="22"/>
              </w:rPr>
            </w:pPr>
            <w:r>
              <w:rPr>
                <w:sz w:val="22"/>
                <w:szCs w:val="22"/>
              </w:rPr>
              <w:t>人工水草的养护要求</w:t>
            </w:r>
          </w:p>
        </w:tc>
        <w:tc>
          <w:tcPr>
            <w:tcW w:w="6753" w:type="dxa"/>
            <w:gridSpan w:val="2"/>
            <w:vMerge w:val="restart"/>
            <w:vAlign w:val="center"/>
          </w:tcPr>
          <w:p>
            <w:pPr>
              <w:autoSpaceDE w:val="0"/>
              <w:autoSpaceDN w:val="0"/>
              <w:adjustRightInd w:val="0"/>
              <w:snapToGrid w:val="0"/>
            </w:pPr>
            <w:r>
              <w:rPr>
                <w:rFonts w:hint="eastAsia" w:ascii="宋体" w:hAnsi="宋体"/>
                <w:sz w:val="22"/>
                <w:szCs w:val="22"/>
              </w:rPr>
              <w:t>1.未及时更换/处理或维护加固水草，每次扣0.5分</w:t>
            </w:r>
          </w:p>
        </w:tc>
        <w:tc>
          <w:tcPr>
            <w:tcW w:w="1426" w:type="dxa"/>
            <w:vMerge w:val="restart"/>
            <w:vAlign w:val="center"/>
          </w:tcPr>
          <w:p>
            <w:pPr>
              <w:adjustRightInd w:val="0"/>
              <w:snapToGrid w:val="0"/>
              <w:spacing w:after="120" w:afterLines="50"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ascii="宋体" w:hAnsi="宋体"/>
                <w:sz w:val="22"/>
                <w:szCs w:val="22"/>
              </w:rPr>
            </w:pPr>
          </w:p>
        </w:tc>
        <w:tc>
          <w:tcPr>
            <w:tcW w:w="6753" w:type="dxa"/>
            <w:gridSpan w:val="2"/>
            <w:vMerge w:val="continue"/>
            <w:vAlign w:val="center"/>
          </w:tcPr>
          <w:p>
            <w:pPr>
              <w:jc w:val="left"/>
            </w:pPr>
          </w:p>
        </w:tc>
        <w:tc>
          <w:tcPr>
            <w:tcW w:w="1426" w:type="dxa"/>
            <w:vMerge w:val="continue"/>
            <w:vAlign w:val="center"/>
          </w:tcPr>
          <w:p>
            <w:pPr>
              <w:adjustRightInd w:val="0"/>
              <w:snapToGrid w:val="0"/>
              <w:spacing w:after="120" w:afterLines="50"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trPr>
        <w:tc>
          <w:tcPr>
            <w:tcW w:w="1361" w:type="dxa"/>
            <w:vAlign w:val="center"/>
          </w:tcPr>
          <w:p>
            <w:pPr>
              <w:tabs>
                <w:tab w:val="left" w:pos="3230"/>
              </w:tabs>
              <w:jc w:val="left"/>
              <w:rPr>
                <w:sz w:val="22"/>
                <w:szCs w:val="22"/>
              </w:rPr>
            </w:pPr>
            <w:r>
              <w:rPr>
                <w:rFonts w:hint="eastAsia"/>
                <w:sz w:val="22"/>
                <w:szCs w:val="22"/>
                <w:lang w:val="en-US" w:eastAsia="zh-CN"/>
              </w:rPr>
              <w:t>设施</w:t>
            </w:r>
            <w:r>
              <w:rPr>
                <w:rFonts w:hint="eastAsia"/>
                <w:sz w:val="22"/>
                <w:szCs w:val="22"/>
              </w:rPr>
              <w:t>设备运维</w:t>
            </w:r>
          </w:p>
        </w:tc>
        <w:tc>
          <w:tcPr>
            <w:tcW w:w="6753" w:type="dxa"/>
            <w:gridSpan w:val="2"/>
            <w:vAlign w:val="center"/>
          </w:tcPr>
          <w:p>
            <w:pPr>
              <w:autoSpaceDE w:val="0"/>
              <w:autoSpaceDN w:val="0"/>
              <w:adjustRightInd w:val="0"/>
              <w:snapToGrid w:val="0"/>
              <w:rPr>
                <w:rFonts w:ascii="宋体" w:hAnsi="宋体"/>
                <w:sz w:val="22"/>
                <w:szCs w:val="22"/>
              </w:rPr>
            </w:pPr>
            <w:r>
              <w:rPr>
                <w:rFonts w:hint="eastAsia" w:ascii="宋体" w:hAnsi="宋体"/>
                <w:sz w:val="22"/>
                <w:szCs w:val="22"/>
              </w:rPr>
              <w:t>1、每周定期巡检，每少一次扣1分</w:t>
            </w:r>
          </w:p>
          <w:p>
            <w:pPr>
              <w:autoSpaceDE w:val="0"/>
              <w:autoSpaceDN w:val="0"/>
              <w:adjustRightInd w:val="0"/>
              <w:snapToGrid w:val="0"/>
            </w:pPr>
            <w:r>
              <w:rPr>
                <w:rFonts w:hint="eastAsia" w:ascii="宋体" w:hAnsi="宋体"/>
                <w:sz w:val="22"/>
                <w:szCs w:val="22"/>
              </w:rPr>
              <w:t>2、未及时清理周围漂浮物和垃圾，</w:t>
            </w:r>
            <w:r>
              <w:rPr>
                <w:rFonts w:hint="eastAsia"/>
              </w:rPr>
              <w:t>每例扣1分；</w:t>
            </w:r>
          </w:p>
        </w:tc>
        <w:tc>
          <w:tcPr>
            <w:tcW w:w="1426" w:type="dxa"/>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restart"/>
            <w:vAlign w:val="center"/>
          </w:tcPr>
          <w:p>
            <w:pPr>
              <w:tabs>
                <w:tab w:val="left" w:pos="3230"/>
              </w:tabs>
              <w:jc w:val="left"/>
              <w:rPr>
                <w:rFonts w:ascii="宋体" w:hAnsi="宋体"/>
                <w:sz w:val="22"/>
                <w:szCs w:val="22"/>
              </w:rPr>
            </w:pPr>
            <w:r>
              <w:rPr>
                <w:sz w:val="22"/>
                <w:szCs w:val="22"/>
              </w:rPr>
              <w:t>水质维护</w:t>
            </w:r>
          </w:p>
        </w:tc>
        <w:tc>
          <w:tcPr>
            <w:tcW w:w="6753" w:type="dxa"/>
            <w:gridSpan w:val="2"/>
            <w:vMerge w:val="restart"/>
            <w:vAlign w:val="center"/>
          </w:tcPr>
          <w:p>
            <w:pPr>
              <w:autoSpaceDE w:val="0"/>
              <w:autoSpaceDN w:val="0"/>
              <w:adjustRightInd w:val="0"/>
              <w:snapToGrid w:val="0"/>
            </w:pPr>
            <w:r>
              <w:rPr>
                <w:rFonts w:hint="eastAsia"/>
              </w:rPr>
              <w:t>1.每月定期投放微生物制剂并做好记录，每少一次扣2分；</w:t>
            </w:r>
          </w:p>
          <w:p>
            <w:pPr>
              <w:autoSpaceDE w:val="0"/>
              <w:autoSpaceDN w:val="0"/>
              <w:adjustRightInd w:val="0"/>
              <w:snapToGrid w:val="0"/>
            </w:pPr>
            <w:r>
              <w:rPr>
                <w:rFonts w:hint="eastAsia"/>
              </w:rPr>
              <w:t>2.每个月对河道进行4次取样监测，每少一次扣1分；</w:t>
            </w:r>
          </w:p>
          <w:p>
            <w:pPr>
              <w:autoSpaceDE w:val="0"/>
              <w:autoSpaceDN w:val="0"/>
              <w:adjustRightInd w:val="0"/>
              <w:snapToGrid w:val="0"/>
            </w:pPr>
            <w:r>
              <w:rPr>
                <w:rFonts w:hint="eastAsia"/>
              </w:rPr>
              <w:t>3.垃圾打捞上岸未送到采购人指定临时堆放点。每处扣1分；</w:t>
            </w:r>
          </w:p>
          <w:p>
            <w:pPr>
              <w:autoSpaceDE w:val="0"/>
              <w:autoSpaceDN w:val="0"/>
              <w:adjustRightInd w:val="0"/>
              <w:snapToGrid w:val="0"/>
            </w:pPr>
            <w:r>
              <w:rPr>
                <w:rFonts w:hint="eastAsia"/>
              </w:rPr>
              <w:t>4.每月水质考核通报中出现治理段水质主要指标（溶解氧、高锰酸盐指数、氨氮、总磷、COD、透明度、PH值）没有达到地表水环境质量标准（GB3838-2002）Ⅳ类水标准，当月考核不合格；</w:t>
            </w:r>
          </w:p>
        </w:tc>
        <w:tc>
          <w:tcPr>
            <w:tcW w:w="1426" w:type="dxa"/>
            <w:vMerge w:val="restart"/>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trPr>
        <w:tc>
          <w:tcPr>
            <w:tcW w:w="1361" w:type="dxa"/>
            <w:vMerge w:val="continue"/>
            <w:vAlign w:val="center"/>
          </w:tcPr>
          <w:p>
            <w:pPr>
              <w:tabs>
                <w:tab w:val="left" w:pos="3230"/>
              </w:tabs>
              <w:jc w:val="center"/>
              <w:rPr>
                <w:rFonts w:ascii="宋体" w:hAnsi="宋体"/>
                <w:sz w:val="22"/>
                <w:szCs w:val="22"/>
              </w:rPr>
            </w:pPr>
          </w:p>
        </w:tc>
        <w:tc>
          <w:tcPr>
            <w:tcW w:w="6753" w:type="dxa"/>
            <w:gridSpan w:val="2"/>
            <w:vMerge w:val="continue"/>
            <w:vAlign w:val="center"/>
          </w:tcPr>
          <w:p>
            <w:pPr>
              <w:tabs>
                <w:tab w:val="left" w:pos="3230"/>
              </w:tabs>
              <w:jc w:val="center"/>
              <w:rPr>
                <w:rFonts w:ascii="宋体" w:hAnsi="宋体"/>
                <w:sz w:val="22"/>
                <w:szCs w:val="22"/>
              </w:rPr>
            </w:pPr>
          </w:p>
        </w:tc>
        <w:tc>
          <w:tcPr>
            <w:tcW w:w="1426" w:type="dxa"/>
            <w:vMerge w:val="continue"/>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sz w:val="22"/>
                <w:szCs w:val="22"/>
              </w:rPr>
            </w:pPr>
          </w:p>
        </w:tc>
        <w:tc>
          <w:tcPr>
            <w:tcW w:w="6753" w:type="dxa"/>
            <w:gridSpan w:val="2"/>
            <w:vMerge w:val="continue"/>
            <w:vAlign w:val="center"/>
          </w:tcPr>
          <w:p>
            <w:pPr>
              <w:autoSpaceDE w:val="0"/>
              <w:autoSpaceDN w:val="0"/>
              <w:adjustRightInd w:val="0"/>
              <w:snapToGrid w:val="0"/>
              <w:spacing w:line="460" w:lineRule="atLeast"/>
              <w:rPr>
                <w:rFonts w:ascii="宋体" w:hAnsi="宋体"/>
                <w:szCs w:val="21"/>
              </w:rPr>
            </w:pPr>
          </w:p>
        </w:tc>
        <w:tc>
          <w:tcPr>
            <w:tcW w:w="1426" w:type="dxa"/>
            <w:vMerge w:val="continue"/>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sz w:val="22"/>
                <w:szCs w:val="22"/>
              </w:rPr>
            </w:pPr>
          </w:p>
        </w:tc>
        <w:tc>
          <w:tcPr>
            <w:tcW w:w="6753" w:type="dxa"/>
            <w:gridSpan w:val="2"/>
            <w:vMerge w:val="continue"/>
            <w:vAlign w:val="center"/>
          </w:tcPr>
          <w:p>
            <w:pPr>
              <w:tabs>
                <w:tab w:val="left" w:pos="3230"/>
              </w:tabs>
              <w:rPr>
                <w:rFonts w:ascii="宋体" w:hAnsi="宋体"/>
                <w:sz w:val="22"/>
                <w:szCs w:val="22"/>
              </w:rPr>
            </w:pPr>
          </w:p>
        </w:tc>
        <w:tc>
          <w:tcPr>
            <w:tcW w:w="1426" w:type="dxa"/>
            <w:vMerge w:val="continue"/>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sz w:val="22"/>
                <w:szCs w:val="22"/>
              </w:rPr>
            </w:pPr>
          </w:p>
        </w:tc>
        <w:tc>
          <w:tcPr>
            <w:tcW w:w="6753" w:type="dxa"/>
            <w:gridSpan w:val="2"/>
            <w:vMerge w:val="continue"/>
            <w:vAlign w:val="center"/>
          </w:tcPr>
          <w:p>
            <w:pPr>
              <w:tabs>
                <w:tab w:val="left" w:pos="3230"/>
              </w:tabs>
              <w:rPr>
                <w:rFonts w:ascii="宋体" w:hAnsi="宋体"/>
                <w:sz w:val="22"/>
                <w:szCs w:val="22"/>
              </w:rPr>
            </w:pPr>
          </w:p>
        </w:tc>
        <w:tc>
          <w:tcPr>
            <w:tcW w:w="1426" w:type="dxa"/>
            <w:vMerge w:val="continue"/>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361" w:type="dxa"/>
            <w:vMerge w:val="continue"/>
            <w:vAlign w:val="center"/>
          </w:tcPr>
          <w:p>
            <w:pPr>
              <w:tabs>
                <w:tab w:val="left" w:pos="3230"/>
              </w:tabs>
              <w:jc w:val="center"/>
              <w:rPr>
                <w:rFonts w:ascii="宋体" w:hAnsi="宋体"/>
                <w:sz w:val="22"/>
                <w:szCs w:val="22"/>
              </w:rPr>
            </w:pPr>
          </w:p>
        </w:tc>
        <w:tc>
          <w:tcPr>
            <w:tcW w:w="6753" w:type="dxa"/>
            <w:gridSpan w:val="2"/>
            <w:vMerge w:val="continue"/>
            <w:vAlign w:val="center"/>
          </w:tcPr>
          <w:p>
            <w:pPr>
              <w:tabs>
                <w:tab w:val="left" w:pos="3230"/>
              </w:tabs>
              <w:jc w:val="center"/>
              <w:rPr>
                <w:rFonts w:ascii="宋体" w:hAnsi="宋体"/>
                <w:sz w:val="22"/>
                <w:szCs w:val="22"/>
              </w:rPr>
            </w:pPr>
          </w:p>
        </w:tc>
        <w:tc>
          <w:tcPr>
            <w:tcW w:w="1426" w:type="dxa"/>
            <w:vMerge w:val="continue"/>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9" w:hRule="atLeast"/>
        </w:trPr>
        <w:tc>
          <w:tcPr>
            <w:tcW w:w="1361" w:type="dxa"/>
            <w:vAlign w:val="center"/>
          </w:tcPr>
          <w:p>
            <w:pPr>
              <w:tabs>
                <w:tab w:val="left" w:pos="3230"/>
              </w:tabs>
              <w:jc w:val="center"/>
              <w:rPr>
                <w:rFonts w:ascii="宋体" w:hAnsi="宋体"/>
                <w:sz w:val="22"/>
                <w:szCs w:val="22"/>
              </w:rPr>
            </w:pPr>
            <w:r>
              <w:rPr>
                <w:rFonts w:hint="eastAsia"/>
                <w:sz w:val="22"/>
                <w:szCs w:val="22"/>
              </w:rPr>
              <w:t>安全作业</w:t>
            </w:r>
          </w:p>
        </w:tc>
        <w:tc>
          <w:tcPr>
            <w:tcW w:w="6753" w:type="dxa"/>
            <w:gridSpan w:val="2"/>
            <w:vAlign w:val="center"/>
          </w:tcPr>
          <w:p>
            <w:pPr>
              <w:autoSpaceDE w:val="0"/>
              <w:autoSpaceDN w:val="0"/>
              <w:adjustRightInd w:val="0"/>
              <w:snapToGrid w:val="0"/>
              <w:rPr>
                <w:rFonts w:ascii="宋体" w:hAnsi="宋体"/>
                <w:sz w:val="22"/>
                <w:szCs w:val="22"/>
              </w:rPr>
            </w:pPr>
            <w:r>
              <w:rPr>
                <w:rFonts w:hint="eastAsia" w:ascii="宋体" w:hAnsi="宋体"/>
                <w:sz w:val="22"/>
                <w:szCs w:val="22"/>
              </w:rPr>
              <w:t>1.发生安全事故的，扣5分，若由于中标人原因导致情节严重，采购人有权直接解除合同；</w:t>
            </w:r>
          </w:p>
          <w:p>
            <w:pPr>
              <w:autoSpaceDE w:val="0"/>
              <w:autoSpaceDN w:val="0"/>
              <w:adjustRightInd w:val="0"/>
              <w:snapToGrid w:val="0"/>
              <w:rPr>
                <w:rFonts w:ascii="宋体" w:hAnsi="宋体"/>
                <w:sz w:val="22"/>
                <w:szCs w:val="22"/>
              </w:rPr>
            </w:pPr>
            <w:r>
              <w:rPr>
                <w:rFonts w:hint="eastAsia" w:ascii="宋体" w:hAnsi="宋体"/>
                <w:sz w:val="22"/>
                <w:szCs w:val="22"/>
              </w:rPr>
              <w:t>2.工作人员上岗不按规定着装或不穿救生衣的，每人扣1分；</w:t>
            </w:r>
          </w:p>
          <w:p>
            <w:pPr>
              <w:autoSpaceDE w:val="0"/>
              <w:autoSpaceDN w:val="0"/>
              <w:adjustRightInd w:val="0"/>
              <w:snapToGrid w:val="0"/>
              <w:rPr>
                <w:rFonts w:ascii="宋体" w:hAnsi="宋体"/>
                <w:sz w:val="22"/>
                <w:szCs w:val="22"/>
              </w:rPr>
            </w:pPr>
            <w:r>
              <w:rPr>
                <w:rFonts w:hint="eastAsia" w:ascii="宋体" w:hAnsi="宋体"/>
                <w:sz w:val="22"/>
                <w:szCs w:val="22"/>
              </w:rPr>
              <w:t>3</w:t>
            </w:r>
            <w:r>
              <w:rPr>
                <w:rFonts w:hint="eastAsia" w:ascii="宋体" w:hAnsi="宋体"/>
                <w:szCs w:val="21"/>
              </w:rPr>
              <w:t>.工作人员酒后作业的，每发现一例扣5分；</w:t>
            </w:r>
          </w:p>
        </w:tc>
        <w:tc>
          <w:tcPr>
            <w:tcW w:w="1426" w:type="dxa"/>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361" w:type="dxa"/>
            <w:vAlign w:val="center"/>
          </w:tcPr>
          <w:p>
            <w:pPr>
              <w:tabs>
                <w:tab w:val="left" w:pos="3230"/>
              </w:tabs>
              <w:jc w:val="center"/>
              <w:rPr>
                <w:sz w:val="22"/>
                <w:szCs w:val="22"/>
              </w:rPr>
            </w:pPr>
            <w:r>
              <w:rPr>
                <w:rFonts w:hint="eastAsia" w:ascii="宋体" w:hAnsi="宋体"/>
                <w:szCs w:val="21"/>
              </w:rPr>
              <w:t>售后服务</w:t>
            </w:r>
          </w:p>
        </w:tc>
        <w:tc>
          <w:tcPr>
            <w:tcW w:w="6753" w:type="dxa"/>
            <w:gridSpan w:val="2"/>
            <w:vAlign w:val="center"/>
          </w:tcPr>
          <w:p>
            <w:pPr>
              <w:autoSpaceDE w:val="0"/>
              <w:autoSpaceDN w:val="0"/>
              <w:adjustRightInd w:val="0"/>
              <w:snapToGrid w:val="0"/>
              <w:rPr>
                <w:rFonts w:ascii="宋体" w:hAnsi="宋体"/>
                <w:sz w:val="22"/>
                <w:szCs w:val="22"/>
              </w:rPr>
            </w:pPr>
            <w:r>
              <w:rPr>
                <w:rFonts w:hint="eastAsia" w:ascii="宋体" w:hAnsi="宋体"/>
                <w:sz w:val="22"/>
                <w:szCs w:val="22"/>
              </w:rPr>
              <w:t>1.针对业主指出的相关问题须整改到位，未在规定时间内按要求及时整改到位的，每例扣5分；</w:t>
            </w:r>
          </w:p>
        </w:tc>
        <w:tc>
          <w:tcPr>
            <w:tcW w:w="1426" w:type="dxa"/>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8114" w:type="dxa"/>
            <w:gridSpan w:val="3"/>
            <w:vMerge w:val="restart"/>
            <w:vAlign w:val="center"/>
          </w:tcPr>
          <w:p>
            <w:pPr>
              <w:tabs>
                <w:tab w:val="left" w:pos="3230"/>
              </w:tabs>
              <w:jc w:val="center"/>
              <w:rPr>
                <w:rFonts w:ascii="宋体" w:hAnsi="宋体"/>
                <w:sz w:val="22"/>
                <w:szCs w:val="22"/>
              </w:rPr>
            </w:pPr>
            <w:r>
              <w:rPr>
                <w:rFonts w:hint="eastAsia" w:ascii="宋体" w:hAnsi="宋体"/>
                <w:sz w:val="22"/>
                <w:szCs w:val="22"/>
              </w:rPr>
              <w:t>考核分=100-考核扣分值</w:t>
            </w:r>
          </w:p>
        </w:tc>
        <w:tc>
          <w:tcPr>
            <w:tcW w:w="1426" w:type="dxa"/>
            <w:vMerge w:val="restart"/>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8114" w:type="dxa"/>
            <w:gridSpan w:val="3"/>
            <w:vMerge w:val="continue"/>
            <w:vAlign w:val="center"/>
          </w:tcPr>
          <w:p>
            <w:pPr>
              <w:tabs>
                <w:tab w:val="left" w:pos="3230"/>
              </w:tabs>
              <w:jc w:val="center"/>
              <w:rPr>
                <w:rFonts w:ascii="宋体" w:hAnsi="宋体"/>
                <w:sz w:val="22"/>
                <w:szCs w:val="22"/>
              </w:rPr>
            </w:pPr>
          </w:p>
        </w:tc>
        <w:tc>
          <w:tcPr>
            <w:tcW w:w="1426" w:type="dxa"/>
            <w:vMerge w:val="continue"/>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8114" w:type="dxa"/>
            <w:gridSpan w:val="3"/>
            <w:vAlign w:val="center"/>
          </w:tcPr>
          <w:p>
            <w:pPr>
              <w:tabs>
                <w:tab w:val="left" w:pos="3230"/>
              </w:tabs>
              <w:jc w:val="center"/>
              <w:rPr>
                <w:rFonts w:ascii="宋体" w:hAnsi="宋体"/>
                <w:b/>
                <w:bCs/>
                <w:sz w:val="22"/>
                <w:szCs w:val="22"/>
              </w:rPr>
            </w:pPr>
            <w:r>
              <w:rPr>
                <w:rFonts w:hint="eastAsia" w:ascii="宋体" w:hAnsi="宋体"/>
                <w:b/>
                <w:bCs/>
                <w:sz w:val="22"/>
                <w:szCs w:val="22"/>
              </w:rPr>
              <w:t>扣除金额（元）</w:t>
            </w:r>
          </w:p>
        </w:tc>
        <w:tc>
          <w:tcPr>
            <w:tcW w:w="1426" w:type="dxa"/>
            <w:vAlign w:val="center"/>
          </w:tcPr>
          <w:p>
            <w:pPr>
              <w:tabs>
                <w:tab w:val="left" w:pos="3230"/>
              </w:tabs>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9" w:hRule="atLeast"/>
        </w:trPr>
        <w:tc>
          <w:tcPr>
            <w:tcW w:w="4588" w:type="dxa"/>
            <w:gridSpan w:val="2"/>
            <w:vAlign w:val="center"/>
          </w:tcPr>
          <w:p>
            <w:pPr>
              <w:tabs>
                <w:tab w:val="left" w:pos="3230"/>
              </w:tabs>
              <w:jc w:val="center"/>
              <w:rPr>
                <w:rFonts w:ascii="宋体" w:hAnsi="宋体"/>
                <w:b/>
                <w:bCs/>
                <w:sz w:val="22"/>
                <w:szCs w:val="22"/>
              </w:rPr>
            </w:pPr>
            <w:r>
              <w:rPr>
                <w:rFonts w:hint="eastAsia" w:ascii="宋体" w:hAnsi="宋体"/>
                <w:b/>
                <w:bCs/>
                <w:sz w:val="22"/>
                <w:szCs w:val="22"/>
              </w:rPr>
              <w:t>采购人考核单位（签章）</w:t>
            </w:r>
          </w:p>
        </w:tc>
        <w:tc>
          <w:tcPr>
            <w:tcW w:w="4952" w:type="dxa"/>
            <w:gridSpan w:val="2"/>
            <w:vAlign w:val="center"/>
          </w:tcPr>
          <w:p>
            <w:pPr>
              <w:tabs>
                <w:tab w:val="left" w:pos="3230"/>
              </w:tabs>
              <w:jc w:val="center"/>
              <w:rPr>
                <w:rFonts w:ascii="宋体" w:hAnsi="宋体"/>
                <w:b/>
                <w:bCs/>
                <w:sz w:val="22"/>
                <w:szCs w:val="22"/>
              </w:rPr>
            </w:pPr>
          </w:p>
        </w:tc>
      </w:tr>
    </w:tbl>
    <w:p>
      <w:pPr>
        <w:pStyle w:val="2"/>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autoSpaceDE w:val="0"/>
        <w:autoSpaceDN w:val="0"/>
        <w:adjustRightInd w:val="0"/>
        <w:snapToGrid w:val="0"/>
        <w:spacing w:line="460" w:lineRule="atLeast"/>
        <w:ind w:firstLine="433" w:firstLineChars="196"/>
        <w:textAlignment w:val="bottom"/>
        <w:rPr>
          <w:rFonts w:ascii="宋体" w:hAnsi="宋体" w:cs="宋体"/>
          <w:b/>
          <w:bCs/>
          <w:sz w:val="22"/>
        </w:rPr>
      </w:pPr>
      <w:r>
        <w:rPr>
          <w:rFonts w:hint="eastAsia" w:ascii="宋体" w:hAnsi="宋体" w:cs="宋体"/>
          <w:b/>
          <w:bCs/>
          <w:sz w:val="22"/>
        </w:rPr>
        <w:t>5、</w:t>
      </w:r>
      <w:r>
        <w:rPr>
          <w:rFonts w:hint="eastAsia"/>
          <w:b/>
          <w:sz w:val="22"/>
          <w:szCs w:val="22"/>
          <w:u w:val="single"/>
        </w:rPr>
        <w:t>本项目采用包干方式，项目实施过程中各项价格不予调整。</w:t>
      </w:r>
      <w:r>
        <w:rPr>
          <w:rFonts w:hint="eastAsia"/>
          <w:b/>
          <w:sz w:val="22"/>
          <w:szCs w:val="22"/>
        </w:rPr>
        <w:t>供应商须自行现场勘察，以求得准确的报价依据。供应商须自行考虑投标报价的风险。</w:t>
      </w:r>
      <w:r>
        <w:rPr>
          <w:rFonts w:hint="eastAsia" w:ascii="宋体" w:hAnsi="宋体"/>
          <w:b/>
          <w:sz w:val="22"/>
          <w:szCs w:val="22"/>
        </w:rPr>
        <w:t>承包总价必须包括在承包区域内提供服务所需的费用（包括工人工资、奖金、房补、劳保福利、社保、意外保险、工伤费、教育培训费、暂住费及处理一切伤亡事故等费用）、机械台班费、水电费、工具材料费、垃圾清运费、安全文明生产装备费（包括工人冬、夏装工作服、反光衣等）、项目相关场地租赁等费用、企业应缴税金和应得利润、应急等完成合同所需的一切本身和不可或缺的所有工作开支、政策性文件规定计合同包含的所有风险、责任等各项全部费用并承担一切风险责任。投标供应商认为完成本招标文件规定的项目承包内容所发生的直接成本、间接成本、利润、税金、政策性文件规定的费用、设备进出场费等一切费用均应计入投标报价，凡未列入的将被认为均已包含在投标总价中，今后不得以任何理由追加或调整。</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6、知识产权</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6.2投标供应商应对采购人在使用该产品时所涉及到的专利权负责，不损害采购人的利益。</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6.3投标报价应包括所有应支付的对专利权和版权、设计或其他知识产权而需要向其他方支付的版税。</w:t>
      </w:r>
    </w:p>
    <w:p>
      <w:pPr>
        <w:autoSpaceDE w:val="0"/>
        <w:autoSpaceDN w:val="0"/>
        <w:adjustRightInd w:val="0"/>
        <w:snapToGrid w:val="0"/>
        <w:spacing w:line="400" w:lineRule="exact"/>
        <w:ind w:firstLine="420" w:firstLineChars="190"/>
        <w:textAlignment w:val="bottom"/>
      </w:pPr>
      <w:r>
        <w:rPr>
          <w:rFonts w:hint="eastAsia"/>
          <w:b/>
          <w:color w:val="000000"/>
          <w:sz w:val="22"/>
          <w:szCs w:val="22"/>
        </w:rPr>
        <w:t>6.4投标供应商提供的货物中如使用其他公司的相关专利，应在标书中出示相关授权，如未出示但使用了其他公司的专利，导致供应商中标而引起相关诉讼，由投标供应商承担。</w:t>
      </w:r>
    </w:p>
    <w:p>
      <w:pPr>
        <w:pStyle w:val="12"/>
        <w:adjustRightInd w:val="0"/>
        <w:snapToGrid w:val="0"/>
        <w:spacing w:line="460" w:lineRule="exact"/>
        <w:ind w:firstLine="442"/>
        <w:rPr>
          <w:rFonts w:ascii="宋体"/>
          <w:b/>
          <w:color w:val="000000"/>
          <w:sz w:val="22"/>
          <w:szCs w:val="22"/>
        </w:rPr>
      </w:pPr>
      <w:r>
        <w:rPr>
          <w:rFonts w:hint="eastAsia" w:ascii="宋体"/>
          <w:b/>
          <w:color w:val="000000"/>
          <w:sz w:val="22"/>
          <w:lang w:val="zh-CN"/>
        </w:rPr>
        <w:t>7、</w:t>
      </w:r>
      <w:r>
        <w:rPr>
          <w:rFonts w:hint="eastAsia" w:ascii="宋体"/>
          <w:b/>
          <w:color w:val="000000"/>
          <w:sz w:val="22"/>
          <w:szCs w:val="22"/>
          <w:u w:val="single"/>
        </w:rPr>
        <w:t>供应商企业不是独立法人的，按</w:t>
      </w:r>
      <w:r>
        <w:rPr>
          <w:rFonts w:ascii="宋体"/>
          <w:b/>
          <w:color w:val="000000"/>
          <w:sz w:val="22"/>
          <w:szCs w:val="22"/>
          <w:u w:val="single"/>
        </w:rPr>
        <w:t>浙财采监[2013]24号</w:t>
      </w:r>
      <w:r>
        <w:rPr>
          <w:rFonts w:hint="eastAsia" w:ascii="宋体"/>
          <w:b/>
          <w:color w:val="000000"/>
          <w:sz w:val="22"/>
          <w:szCs w:val="22"/>
          <w:u w:val="single"/>
        </w:rPr>
        <w:t>文件执行。</w:t>
      </w:r>
    </w:p>
    <w:p>
      <w:pPr>
        <w:snapToGrid w:val="0"/>
        <w:spacing w:line="400" w:lineRule="exact"/>
        <w:ind w:firstLine="420" w:firstLineChars="190"/>
        <w:rPr>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utoSpaceDE w:val="0"/>
        <w:autoSpaceDN w:val="0"/>
        <w:adjustRightInd w:val="0"/>
        <w:snapToGrid w:val="0"/>
        <w:spacing w:line="440" w:lineRule="exact"/>
        <w:ind w:firstLine="420"/>
        <w:textAlignment w:val="bottom"/>
        <w:rPr>
          <w:rFonts w:ascii="宋体" w:hAnsi="宋体"/>
          <w:b/>
          <w:sz w:val="22"/>
          <w:szCs w:val="22"/>
        </w:rPr>
      </w:pPr>
      <w:r>
        <w:rPr>
          <w:rFonts w:hint="eastAsia" w:ascii="宋体" w:cs="宋体"/>
          <w:b/>
          <w:sz w:val="22"/>
          <w:szCs w:val="22"/>
        </w:rPr>
        <w:t>▲</w:t>
      </w:r>
      <w:r>
        <w:rPr>
          <w:rFonts w:hint="eastAsia" w:ascii="宋体" w:hAnsi="宋体" w:cs="宋体"/>
          <w:b/>
          <w:sz w:val="22"/>
          <w:szCs w:val="22"/>
        </w:rPr>
        <w:t>9、</w:t>
      </w:r>
      <w:r>
        <w:rPr>
          <w:rFonts w:hint="eastAsia" w:ascii="宋体" w:hAnsi="宋体"/>
          <w:b/>
          <w:sz w:val="22"/>
          <w:szCs w:val="22"/>
        </w:rPr>
        <w:t>本项目采购最高限价为</w:t>
      </w:r>
      <w:r>
        <w:rPr>
          <w:rFonts w:hint="eastAsia" w:ascii="宋体" w:hAnsi="宋体"/>
          <w:b/>
          <w:sz w:val="22"/>
          <w:szCs w:val="22"/>
          <w:u w:val="single"/>
        </w:rPr>
        <w:t>260</w:t>
      </w:r>
      <w:r>
        <w:rPr>
          <w:rFonts w:hint="eastAsia" w:ascii="宋体" w:hAnsi="宋体" w:cs="宋体"/>
          <w:b/>
          <w:kern w:val="0"/>
          <w:sz w:val="22"/>
          <w:szCs w:val="22"/>
          <w:u w:val="single"/>
        </w:rPr>
        <w:t>万元人民币，</w:t>
      </w:r>
      <w:r>
        <w:rPr>
          <w:rFonts w:hint="eastAsia" w:ascii="宋体" w:hAnsi="宋体"/>
          <w:b/>
          <w:sz w:val="22"/>
          <w:szCs w:val="22"/>
        </w:rPr>
        <w:t>供应商投标报价超出该采购预算，其投标做无效标处理。</w:t>
      </w:r>
    </w:p>
    <w:p>
      <w:pPr>
        <w:autoSpaceDE w:val="0"/>
        <w:autoSpaceDN w:val="0"/>
        <w:adjustRightInd w:val="0"/>
        <w:snapToGrid w:val="0"/>
        <w:spacing w:line="460" w:lineRule="exact"/>
        <w:ind w:firstLine="420"/>
        <w:textAlignment w:val="bottom"/>
        <w:rPr>
          <w:rFonts w:ascii="宋体" w:hAnsi="宋体"/>
          <w:b/>
          <w:sz w:val="22"/>
          <w:szCs w:val="22"/>
        </w:rPr>
      </w:pPr>
      <w:r>
        <w:rPr>
          <w:rFonts w:hint="eastAsia" w:ascii="宋体" w:hAnsi="宋体" w:cs="宋体"/>
          <w:b/>
          <w:sz w:val="22"/>
          <w:szCs w:val="22"/>
        </w:rPr>
        <w:t>10、</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11</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12、为保证供应商顺利投标，供应商须在投标截止前自行登录平阳县公共资源交易中心网站（http://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atLeast"/>
        <w:ind w:firstLine="422" w:firstLineChars="191"/>
        <w:textAlignment w:val="bottom"/>
      </w:pPr>
      <w:r>
        <w:rPr>
          <w:rFonts w:hint="eastAsia" w:cs="黑体"/>
          <w:b/>
          <w:color w:val="000000"/>
          <w:sz w:val="22"/>
          <w:szCs w:val="22"/>
        </w:rPr>
        <w:t>13、</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2" w:name="OLE_LINK8"/>
      <w:r>
        <w:rPr>
          <w:rFonts w:hint="eastAsia" w:ascii="宋体" w:hAnsi="宋体" w:cs="宋体"/>
          <w:b/>
          <w:sz w:val="22"/>
          <w:szCs w:val="22"/>
          <w:u w:val="single"/>
        </w:rPr>
        <w:t>14、</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2"/>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5"/>
        <w:spacing w:before="120" w:after="120"/>
        <w:ind w:left="2" w:leftChars="1" w:firstLine="660" w:firstLineChars="300"/>
      </w:pPr>
      <w:r>
        <w:rPr>
          <w:rFonts w:hint="eastAsia" w:eastAsia="宋体"/>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0" w:firstLineChars="200"/>
        <w:textAlignment w:val="bottom"/>
        <w:rPr>
          <w:rFonts w:hint="default" w:eastAsia="宋体"/>
          <w:sz w:val="22"/>
          <w:szCs w:val="22"/>
          <w:highlight w:val="yellow"/>
          <w:lang w:val="en-US" w:eastAsia="zh-CN"/>
        </w:rPr>
      </w:pPr>
      <w:r>
        <w:rPr>
          <w:rFonts w:hint="eastAsia"/>
          <w:sz w:val="22"/>
          <w:szCs w:val="22"/>
        </w:rPr>
        <w:t>10）投标</w:t>
      </w:r>
      <w:r>
        <w:rPr>
          <w:rFonts w:hint="eastAsia"/>
          <w:sz w:val="22"/>
          <w:szCs w:val="22"/>
          <w:lang w:val="en-US" w:eastAsia="zh-CN"/>
        </w:rPr>
        <w:t>供应商具有环保工程专业承包三级及以上资质的证明资料；</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上述资格条件审查材料3-10项有一项不提供的，视为资格审查不通过。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rPr>
          <w:sz w:val="22"/>
          <w:szCs w:val="22"/>
          <w:lang w:val="zh-CN"/>
        </w:rPr>
      </w:pPr>
      <w:r>
        <w:rPr>
          <w:rFonts w:hint="eastAsia"/>
          <w:sz w:val="22"/>
          <w:szCs w:val="22"/>
        </w:rPr>
        <w:t>3）</w:t>
      </w:r>
      <w:r>
        <w:rPr>
          <w:rFonts w:hint="eastAsia"/>
          <w:sz w:val="22"/>
          <w:szCs w:val="22"/>
          <w:lang w:val="zh-CN"/>
        </w:rPr>
        <w:t>报价分析明细表</w:t>
      </w:r>
    </w:p>
    <w:p>
      <w:pPr>
        <w:autoSpaceDE w:val="0"/>
        <w:autoSpaceDN w:val="0"/>
        <w:adjustRightInd w:val="0"/>
        <w:snapToGrid w:val="0"/>
        <w:spacing w:line="460" w:lineRule="exact"/>
        <w:ind w:firstLine="440" w:firstLineChars="200"/>
        <w:textAlignment w:val="bottom"/>
      </w:pPr>
      <w:r>
        <w:rPr>
          <w:rFonts w:hint="eastAsia"/>
          <w:sz w:val="22"/>
          <w:szCs w:val="22"/>
        </w:rPr>
        <w:t>4）</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 供应商（制造商）质量体系认证证书、供应商相关资质、资信或信用证书（如有则提供）；</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rPr>
        <w:t>9）</w:t>
      </w:r>
      <w:r>
        <w:rPr>
          <w:rFonts w:hint="eastAsia"/>
          <w:b/>
          <w:bCs/>
          <w:sz w:val="22"/>
          <w:szCs w:val="22"/>
        </w:rPr>
        <w:t>供应商自2017年1月1日以来类似业绩证明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rPr>
        <w:t>10）</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43"/>
      </w:pPr>
      <w:r>
        <w:rPr>
          <w:rFonts w:hint="eastAsia" w:ascii="新宋体" w:hAnsi="新宋体" w:eastAsia="新宋体"/>
          <w:sz w:val="22"/>
          <w:szCs w:val="22"/>
        </w:rPr>
        <w:t xml:space="preserve">    11）</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12）</w:t>
      </w:r>
      <w:r>
        <w:rPr>
          <w:rFonts w:hint="eastAsia" w:ascii="宋体" w:hAnsi="宋体"/>
          <w:b/>
          <w:sz w:val="22"/>
          <w:szCs w:val="22"/>
        </w:rPr>
        <w:t>项目实施方案；</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13）供应商认为有必要提供的其他材料或说明（如有）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14</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3" w:name="_Toc132122115"/>
      <w:bookmarkStart w:id="4" w:name="_Toc132122412"/>
      <w:r>
        <w:rPr>
          <w:rFonts w:hint="eastAsia" w:cs="Arial"/>
          <w:sz w:val="22"/>
          <w:szCs w:val="22"/>
        </w:rPr>
        <w:t>4.投标报价</w:t>
      </w:r>
      <w:bookmarkEnd w:id="3"/>
      <w:bookmarkEnd w:id="4"/>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5" w:name="_Toc132122117"/>
      <w:bookmarkStart w:id="6" w:name="_Toc132122414"/>
      <w:bookmarkStart w:id="7" w:name="_Toc132122415"/>
      <w:bookmarkStart w:id="8" w:name="_Toc132122118"/>
      <w:r>
        <w:rPr>
          <w:rFonts w:hint="eastAsia" w:cs="Arial"/>
          <w:sz w:val="22"/>
          <w:szCs w:val="22"/>
        </w:rPr>
        <w:t>5、投标文件的有效期</w:t>
      </w:r>
      <w:bookmarkEnd w:id="5"/>
      <w:bookmarkEnd w:id="6"/>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7"/>
    <w:bookmarkEnd w:id="8"/>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6"/>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527"/>
        <w:rPr>
          <w:rFonts w:cs="Arial"/>
          <w:color w:val="000000"/>
          <w:sz w:val="22"/>
          <w:szCs w:val="22"/>
        </w:rPr>
      </w:pPr>
      <w:r>
        <w:rPr>
          <w:rFonts w:hint="eastAsia" w:cs="Arial"/>
          <w:color w:val="000000"/>
          <w:sz w:val="22"/>
          <w:szCs w:val="22"/>
        </w:rPr>
        <w:t>（1）符合性审查、商务技术评审结束后，举行开标大会第二阶段会议。首先公布符合性审查、商务技术评审无效供应商名称及理由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hint="eastAsia" w:cs="Arial"/>
          <w:color w:val="000000"/>
          <w:sz w:val="22"/>
          <w:szCs w:val="22"/>
        </w:rPr>
        <w:t>后有效投标</w:t>
      </w:r>
      <w:r>
        <w:rPr>
          <w:rFonts w:cs="Arial"/>
          <w:color w:val="000000"/>
          <w:sz w:val="22"/>
          <w:szCs w:val="22"/>
        </w:rPr>
        <w:t>供应商</w:t>
      </w:r>
      <w:r>
        <w:rPr>
          <w:rFonts w:hint="eastAsia" w:cs="Arial"/>
          <w:color w:val="000000"/>
          <w:sz w:val="22"/>
          <w:szCs w:val="22"/>
        </w:rPr>
        <w:t>的</w:t>
      </w:r>
      <w:r>
        <w:rPr>
          <w:rFonts w:cs="Arial"/>
          <w:color w:val="000000"/>
          <w:sz w:val="22"/>
          <w:szCs w:val="22"/>
        </w:rPr>
        <w:t>名单，同时公布</w:t>
      </w:r>
      <w:r>
        <w:rPr>
          <w:rFonts w:hint="eastAsia" w:cs="Arial"/>
          <w:color w:val="000000"/>
          <w:sz w:val="22"/>
          <w:szCs w:val="22"/>
        </w:rPr>
        <w:t>其</w:t>
      </w:r>
      <w:r>
        <w:rPr>
          <w:rFonts w:cs="Arial"/>
          <w:color w:val="000000"/>
          <w:sz w:val="22"/>
          <w:szCs w:val="22"/>
        </w:rPr>
        <w:t>商务技术</w:t>
      </w:r>
      <w:r>
        <w:rPr>
          <w:rFonts w:hint="eastAsia" w:cs="Arial"/>
          <w:color w:val="000000"/>
          <w:sz w:val="22"/>
          <w:szCs w:val="22"/>
        </w:rPr>
        <w:t>部分</w:t>
      </w:r>
      <w:r>
        <w:rPr>
          <w:rFonts w:cs="Arial"/>
          <w:color w:val="000000"/>
          <w:sz w:val="22"/>
          <w:szCs w:val="22"/>
        </w:rPr>
        <w:t>得分情况</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（2）开启符合性审查、商务技术评审有效投标供应商的《报价文件》，公布开标一览表有关内容</w:t>
      </w:r>
      <w:r>
        <w:rPr>
          <w:rFonts w:cs="Arial"/>
          <w:color w:val="000000"/>
          <w:sz w:val="22"/>
          <w:szCs w:val="22"/>
        </w:rPr>
        <w:t>。</w:t>
      </w:r>
      <w:r>
        <w:rPr>
          <w:rFonts w:hint="eastAsia" w:cs="Arial"/>
          <w:color w:val="000000"/>
          <w:sz w:val="22"/>
          <w:szCs w:val="22"/>
        </w:rPr>
        <w:t>供应商</w:t>
      </w:r>
      <w:r>
        <w:rPr>
          <w:rFonts w:cs="Arial"/>
          <w:color w:val="000000"/>
          <w:sz w:val="22"/>
          <w:szCs w:val="22"/>
        </w:rPr>
        <w:t>签字确认（不予确认的应说明理由，否则视为无异议）唱标结束后，由评标委员会对报价的合理性、准确性等进行审查核实</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（3）评审结束后，公布中标（成交）候选供应商名单，及采购人最终确定中标或成交供应商名单的时间和公告方式等。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9" w:name="_Toc24550037"/>
      <w:bookmarkStart w:id="10" w:name="_Toc33194393"/>
      <w:r>
        <w:rPr>
          <w:rFonts w:hint="eastAsia" w:cs="Arial"/>
          <w:b/>
          <w:sz w:val="22"/>
          <w:szCs w:val="22"/>
        </w:rPr>
        <w:t>4、投标供应商资格审查</w:t>
      </w:r>
      <w:bookmarkEnd w:id="9"/>
      <w:bookmarkEnd w:id="10"/>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6"/>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6"/>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6"/>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6"/>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6"/>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6"/>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6"/>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6"/>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6"/>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6"/>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6"/>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：浙江平阳农村商业银行股份有限公司营业部</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rPr>
        <w:t>浙江亿邦建设咨询有限公司平阳分公司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开户帐号：201000159824833</w:t>
      </w:r>
    </w:p>
    <w:p>
      <w:pPr>
        <w:widowControl/>
        <w:snapToGrid w:val="0"/>
        <w:spacing w:line="420" w:lineRule="exact"/>
        <w:ind w:left="431"/>
        <w:jc w:val="left"/>
        <w:rPr>
          <w:rFonts w:ascii="宋体" w:hAnsi="宋体" w:cs="宋体"/>
          <w:sz w:val="22"/>
          <w:szCs w:val="22"/>
        </w:rPr>
        <w:sectPr>
          <w:pgSz w:w="11906" w:h="16838"/>
          <w:pgMar w:top="1440" w:right="1080" w:bottom="1440" w:left="1080" w:header="851" w:footer="992" w:gutter="0"/>
          <w:cols w:space="720" w:num="1"/>
          <w:docGrid w:linePitch="312" w:charSpace="0"/>
        </w:sectPr>
      </w:pPr>
      <w:r>
        <w:rPr>
          <w:rFonts w:hint="eastAsia" w:ascii="宋体" w:hAnsi="宋体" w:cs="宋体"/>
          <w:sz w:val="22"/>
          <w:szCs w:val="22"/>
        </w:rPr>
        <w:t>5.2</w:t>
      </w:r>
      <w:r>
        <w:rPr>
          <w:rFonts w:hint="eastAsia" w:ascii="宋体" w:hAnsi="宋体" w:cs="宋体"/>
          <w:sz w:val="22"/>
        </w:rPr>
        <w:t>中标供应商在领取中标通知书时须携带法人代表证明原件或法定代表人授权书原件</w:t>
      </w:r>
      <w:r>
        <w:rPr>
          <w:rFonts w:hint="eastAsia" w:ascii="宋体" w:hAnsi="宋体" w:cs="宋体"/>
          <w:sz w:val="22"/>
          <w:szCs w:val="22"/>
        </w:rPr>
        <w:t>。</w:t>
      </w:r>
    </w:p>
    <w:p>
      <w:pPr>
        <w:jc w:val="center"/>
        <w:rPr>
          <w:color w:val="000000"/>
          <w:sz w:val="32"/>
          <w:szCs w:val="32"/>
        </w:rPr>
      </w:pP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pacing w:line="440" w:lineRule="atLeast"/>
        <w:rPr>
          <w:color w:val="000000"/>
          <w:sz w:val="22"/>
          <w:szCs w:val="22"/>
        </w:rPr>
      </w:pPr>
      <w:r>
        <w:rPr>
          <w:rFonts w:hint="eastAsia"/>
          <w:color w:val="000000"/>
          <w:sz w:val="22"/>
          <w:szCs w:val="22"/>
        </w:rPr>
        <w:t>（1）关于印发《政府采购促进中小企业发展暂行办法》的通知（财库[2011]181号）</w:t>
      </w:r>
    </w:p>
    <w:p>
      <w:pPr>
        <w:spacing w:line="440" w:lineRule="atLeast"/>
        <w:rPr>
          <w:color w:val="000000"/>
          <w:sz w:val="22"/>
          <w:szCs w:val="22"/>
        </w:rPr>
      </w:pPr>
      <w:r>
        <w:rPr>
          <w:rFonts w:hint="eastAsia"/>
          <w:color w:val="000000"/>
          <w:sz w:val="22"/>
          <w:szCs w:val="22"/>
        </w:rPr>
        <w:t>（2）浙江省财政厅转发财政部 工业和信息化部关于印发《政府采购促进中小企业发展暂行办法》的通知（浙财采监[2012]11号）</w:t>
      </w:r>
    </w:p>
    <w:p>
      <w:pPr>
        <w:spacing w:line="440" w:lineRule="atLeast"/>
        <w:rPr>
          <w:color w:val="000000"/>
          <w:sz w:val="22"/>
          <w:szCs w:val="22"/>
        </w:rPr>
      </w:pPr>
      <w:r>
        <w:rPr>
          <w:rFonts w:hint="eastAsia"/>
          <w:color w:val="000000"/>
          <w:sz w:val="22"/>
          <w:szCs w:val="22"/>
        </w:rPr>
        <w:t>（3）浙江省财政厅、浙江省经济和信息化委员会《关于简化中小企业类别确认流程有关事项的通知》(浙财采监[2018]2号)</w:t>
      </w:r>
    </w:p>
    <w:p>
      <w:pPr>
        <w:spacing w:line="440" w:lineRule="atLeast"/>
        <w:rPr>
          <w:color w:val="000000"/>
          <w:sz w:val="22"/>
          <w:szCs w:val="22"/>
        </w:rPr>
      </w:pPr>
      <w:r>
        <w:rPr>
          <w:rFonts w:hint="eastAsia"/>
          <w:color w:val="000000"/>
          <w:sz w:val="22"/>
          <w:szCs w:val="22"/>
        </w:rPr>
        <w:t>（4）浙江省省财政厅《关于开展政府采购供应商网上注册登记和诚信管理工作的通知》（浙财采监〔2010〕8号)</w:t>
      </w:r>
    </w:p>
    <w:p>
      <w:pPr>
        <w:spacing w:line="440" w:lineRule="atLeast"/>
        <w:rPr>
          <w:color w:val="000000"/>
          <w:sz w:val="22"/>
          <w:szCs w:val="22"/>
        </w:rPr>
      </w:pPr>
      <w:r>
        <w:rPr>
          <w:rFonts w:hint="eastAsia"/>
          <w:color w:val="000000"/>
          <w:sz w:val="22"/>
          <w:szCs w:val="22"/>
        </w:rPr>
        <w:t>（5）《工业和信息化部、国家统计局、国家发展和改革委员会、财政部关于印发中小企业划型标准规定的通知》（</w:t>
      </w:r>
      <w:r>
        <w:rPr>
          <w:color w:val="000000"/>
          <w:sz w:val="22"/>
          <w:szCs w:val="22"/>
        </w:rPr>
        <w:t>工信部联企业[2011]300号</w:t>
      </w:r>
      <w:r>
        <w:rPr>
          <w:rFonts w:hint="eastAsia"/>
          <w:color w:val="000000"/>
          <w:sz w:val="22"/>
          <w:szCs w:val="22"/>
        </w:rPr>
        <w:t>）</w:t>
      </w:r>
    </w:p>
    <w:p>
      <w:pPr>
        <w:spacing w:line="440" w:lineRule="atLeast"/>
        <w:rPr>
          <w:color w:val="000000"/>
          <w:sz w:val="22"/>
          <w:szCs w:val="22"/>
        </w:rPr>
      </w:pPr>
      <w:r>
        <w:rPr>
          <w:rFonts w:hint="eastAsia"/>
          <w:color w:val="000000"/>
          <w:sz w:val="22"/>
          <w:szCs w:val="22"/>
        </w:rPr>
        <w:t>（6）财政部、司法部《关于政府采购支持监狱企业发展有关问题的通知》（财库〔2014〕68号）</w:t>
      </w:r>
    </w:p>
    <w:p>
      <w:pPr>
        <w:spacing w:line="440" w:lineRule="atLeast"/>
        <w:rPr>
          <w:color w:val="000000"/>
          <w:sz w:val="22"/>
          <w:szCs w:val="22"/>
        </w:rPr>
      </w:pPr>
      <w:r>
        <w:rPr>
          <w:rFonts w:hint="eastAsia"/>
          <w:color w:val="000000"/>
          <w:sz w:val="22"/>
          <w:szCs w:val="22"/>
        </w:rPr>
        <w:t>（7）《财政部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color w:val="000000"/>
          <w:sz w:val="22"/>
          <w:szCs w:val="22"/>
        </w:rPr>
      </w:pPr>
    </w:p>
    <w:p>
      <w:pPr>
        <w:spacing w:line="440" w:lineRule="atLeast"/>
        <w:jc w:val="center"/>
        <w:rPr>
          <w:color w:val="000000"/>
          <w:sz w:val="22"/>
          <w:szCs w:val="22"/>
        </w:rPr>
      </w:pPr>
      <w:r>
        <w:rPr>
          <w:rFonts w:hint="eastAsia"/>
          <w:color w:val="000000"/>
          <w:sz w:val="22"/>
          <w:szCs w:val="22"/>
        </w:rPr>
        <w:t>中小企业声明函</w:t>
      </w:r>
    </w:p>
    <w:p>
      <w:pPr>
        <w:spacing w:line="440" w:lineRule="atLeast"/>
        <w:rPr>
          <w:color w:val="000000"/>
          <w:sz w:val="22"/>
          <w:szCs w:val="22"/>
        </w:rPr>
      </w:pPr>
      <w:r>
        <w:rPr>
          <w:rFonts w:hint="eastAsia"/>
          <w:color w:val="000000"/>
          <w:sz w:val="22"/>
          <w:szCs w:val="22"/>
        </w:rPr>
        <w:t>本公司郑重声明，根据《政府采购促进中小企业发展暂行办法》（财库[2011]181号）的规定，本公司为______（请填写：中型、小型、微型）企业。即，本公司同时满足以下条件：</w:t>
      </w:r>
      <w:r>
        <w:rPr>
          <w:rFonts w:hint="eastAsia"/>
          <w:color w:val="000000"/>
          <w:sz w:val="22"/>
          <w:szCs w:val="22"/>
        </w:rPr>
        <w:br w:type="textWrapping"/>
      </w:r>
      <w:r>
        <w:rPr>
          <w:rFonts w:hint="eastAsia"/>
          <w:color w:val="000000"/>
          <w:sz w:val="22"/>
          <w:szCs w:val="22"/>
        </w:rPr>
        <w:t>  1.根据《工业和信息化部、国家统计局、国家发展和改革委员会、财政部关于印发中小企业划型标准规定的通知》（工信部联企业[2011]300号）规定的划分标准，本公司为______（请填写：中型、小型、微型）企业。</w:t>
      </w:r>
      <w:r>
        <w:rPr>
          <w:rFonts w:hint="eastAsia"/>
          <w:color w:val="000000"/>
          <w:sz w:val="22"/>
          <w:szCs w:val="22"/>
        </w:rPr>
        <w:br w:type="textWrapping"/>
      </w:r>
      <w:r>
        <w:rPr>
          <w:rFonts w:hint="eastAsia"/>
          <w:color w:val="000000"/>
          <w:sz w:val="22"/>
          <w:szCs w:val="22"/>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rFonts w:hint="eastAsia"/>
          <w:color w:val="000000"/>
          <w:sz w:val="22"/>
          <w:szCs w:val="22"/>
        </w:rPr>
        <w:br w:type="textWrapping"/>
      </w:r>
      <w:r>
        <w:rPr>
          <w:rFonts w:hint="eastAsia"/>
          <w:color w:val="000000"/>
          <w:sz w:val="22"/>
          <w:szCs w:val="22"/>
        </w:rPr>
        <w:t>    本公司对上述声明的真实性负责。如有虚假，将依法承担相应责任。</w:t>
      </w:r>
    </w:p>
    <w:p>
      <w:pPr>
        <w:spacing w:line="440" w:lineRule="atLeast"/>
        <w:rPr>
          <w:color w:val="000000"/>
          <w:sz w:val="22"/>
          <w:szCs w:val="22"/>
        </w:rPr>
      </w:pPr>
    </w:p>
    <w:p>
      <w:pPr>
        <w:spacing w:line="440" w:lineRule="atLeast"/>
        <w:rPr>
          <w:color w:val="000000"/>
          <w:sz w:val="22"/>
          <w:szCs w:val="22"/>
        </w:rPr>
      </w:pPr>
      <w:r>
        <w:rPr>
          <w:rFonts w:hint="eastAsia"/>
          <w:color w:val="000000"/>
          <w:sz w:val="22"/>
          <w:szCs w:val="22"/>
        </w:rPr>
        <w:t>投标供应商名称（盖章）：                </w:t>
      </w:r>
      <w:r>
        <w:rPr>
          <w:rFonts w:hint="eastAsia"/>
          <w:color w:val="000000"/>
          <w:sz w:val="22"/>
          <w:szCs w:val="22"/>
        </w:rPr>
        <w:br w:type="textWrapping"/>
      </w:r>
      <w:r>
        <w:rPr>
          <w:rFonts w:hint="eastAsia"/>
          <w:color w:val="000000"/>
          <w:sz w:val="22"/>
          <w:szCs w:val="22"/>
        </w:rPr>
        <w:t>日期：                             　　　　　</w:t>
      </w:r>
    </w:p>
    <w:p>
      <w:pPr>
        <w:spacing w:line="588" w:lineRule="exact"/>
        <w:jc w:val="center"/>
        <w:rPr>
          <w:color w:val="000000"/>
          <w:spacing w:val="6"/>
          <w:sz w:val="22"/>
          <w:szCs w:val="22"/>
        </w:rPr>
      </w:pPr>
      <w:bookmarkStart w:id="11" w:name="OLE_LINK13"/>
      <w:bookmarkStart w:id="12" w:name="OLE_LINK14"/>
      <w:r>
        <w:rPr>
          <w:rFonts w:hint="eastAsia"/>
          <w:color w:val="000000"/>
          <w:spacing w:val="6"/>
          <w:sz w:val="22"/>
          <w:szCs w:val="22"/>
        </w:rPr>
        <w:t>残疾人福利性单位声明函</w:t>
      </w:r>
    </w:p>
    <w:bookmarkEnd w:id="11"/>
    <w:bookmarkEnd w:id="12"/>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spacing w:line="588" w:lineRule="exact"/>
        <w:ind w:firstLine="464" w:firstLineChars="200"/>
        <w:rPr>
          <w:color w:val="000000"/>
          <w:spacing w:val="6"/>
          <w:sz w:val="22"/>
          <w:szCs w:val="22"/>
        </w:rPr>
      </w:pPr>
      <w:r>
        <w:rPr>
          <w:rFonts w:hint="eastAsia"/>
          <w:color w:val="000000"/>
          <w:spacing w:val="6"/>
          <w:sz w:val="22"/>
          <w:szCs w:val="22"/>
        </w:rPr>
        <w:t>备注说明：</w:t>
      </w:r>
    </w:p>
    <w:p>
      <w:pPr>
        <w:spacing w:line="588" w:lineRule="exact"/>
        <w:ind w:firstLine="464" w:firstLineChars="200"/>
        <w:rPr>
          <w:color w:val="000000"/>
          <w:spacing w:val="6"/>
          <w:sz w:val="22"/>
          <w:szCs w:val="22"/>
        </w:rPr>
      </w:pPr>
      <w:r>
        <w:rPr>
          <w:rFonts w:hint="eastAsia"/>
          <w:color w:val="000000"/>
          <w:spacing w:val="6"/>
          <w:sz w:val="22"/>
          <w:szCs w:val="22"/>
        </w:rPr>
        <w:t>1、如中标，将在中标公示中将此残疾人福利性单位声明函予以公示，接受社会监督；</w:t>
      </w:r>
    </w:p>
    <w:p>
      <w:pPr>
        <w:spacing w:line="588" w:lineRule="exact"/>
        <w:ind w:firstLine="464" w:firstLineChars="200"/>
        <w:rPr>
          <w:color w:val="000000"/>
          <w:spacing w:val="6"/>
          <w:sz w:val="22"/>
          <w:szCs w:val="22"/>
        </w:rPr>
      </w:pPr>
      <w:r>
        <w:rPr>
          <w:rFonts w:hint="eastAsia"/>
          <w:color w:val="000000"/>
          <w:spacing w:val="6"/>
          <w:sz w:val="22"/>
          <w:szCs w:val="22"/>
        </w:rPr>
        <w:t>2、供应商提供的《残疾人福利性单位声明函》与事实不符的，依照《政府采购法》第七十七条第一款的规定追究法律责任。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二、节能、环保产品优先（强制）采购政策说明</w:t>
      </w:r>
    </w:p>
    <w:p>
      <w:pPr>
        <w:spacing w:line="588" w:lineRule="exact"/>
        <w:ind w:firstLine="464" w:firstLineChars="200"/>
        <w:rPr>
          <w:color w:val="000000"/>
          <w:spacing w:val="6"/>
          <w:sz w:val="22"/>
          <w:szCs w:val="22"/>
        </w:rPr>
      </w:pPr>
      <w:r>
        <w:rPr>
          <w:rFonts w:hint="eastAsia"/>
          <w:color w:val="000000"/>
          <w:spacing w:val="6"/>
          <w:sz w:val="22"/>
          <w:szCs w:val="22"/>
        </w:rPr>
        <w:t>1、政策依据</w:t>
      </w:r>
    </w:p>
    <w:p>
      <w:pPr>
        <w:spacing w:line="588" w:lineRule="exact"/>
        <w:ind w:firstLine="464" w:firstLineChars="200"/>
        <w:rPr>
          <w:color w:val="000000"/>
          <w:spacing w:val="6"/>
          <w:sz w:val="22"/>
          <w:szCs w:val="22"/>
        </w:rPr>
      </w:pPr>
      <w:r>
        <w:rPr>
          <w:rFonts w:hint="eastAsia"/>
          <w:color w:val="000000"/>
          <w:spacing w:val="6"/>
          <w:sz w:val="22"/>
          <w:szCs w:val="22"/>
        </w:rPr>
        <w:t>（一）《国务院办公厅关于建立政府强制采购节能产品制度的通知》(国办发[2007]51号)</w:t>
      </w:r>
    </w:p>
    <w:p>
      <w:pPr>
        <w:spacing w:line="588" w:lineRule="exact"/>
        <w:ind w:firstLine="464" w:firstLineChars="200"/>
        <w:rPr>
          <w:color w:val="000000"/>
          <w:spacing w:val="6"/>
          <w:sz w:val="22"/>
          <w:szCs w:val="22"/>
        </w:rPr>
      </w:pPr>
      <w:r>
        <w:rPr>
          <w:rFonts w:hint="eastAsia"/>
          <w:color w:val="000000"/>
          <w:spacing w:val="6"/>
          <w:sz w:val="22"/>
          <w:szCs w:val="22"/>
        </w:rPr>
        <w:t>（二）财政部、发展改革委发布的《节能产品政府采购实施意见》(财库[2004]185号)</w:t>
      </w:r>
    </w:p>
    <w:p>
      <w:pPr>
        <w:spacing w:line="588" w:lineRule="exact"/>
        <w:ind w:firstLine="464" w:firstLineChars="200"/>
        <w:rPr>
          <w:color w:val="000000"/>
          <w:spacing w:val="6"/>
          <w:sz w:val="22"/>
          <w:szCs w:val="22"/>
        </w:rPr>
      </w:pPr>
      <w:r>
        <w:rPr>
          <w:rFonts w:hint="eastAsia"/>
          <w:color w:val="000000"/>
          <w:spacing w:val="6"/>
          <w:sz w:val="22"/>
          <w:szCs w:val="22"/>
        </w:rPr>
        <w:t>（三）财政部、原环保总局印发的《环境标志产品政府采购实施的意见》（财库 [2006]90号）</w:t>
      </w:r>
    </w:p>
    <w:p>
      <w:pPr>
        <w:spacing w:line="588" w:lineRule="exact"/>
        <w:ind w:firstLine="464" w:firstLineChars="200"/>
        <w:rPr>
          <w:color w:val="000000"/>
          <w:spacing w:val="6"/>
          <w:sz w:val="22"/>
          <w:szCs w:val="22"/>
        </w:rPr>
      </w:pPr>
      <w:r>
        <w:rPr>
          <w:rFonts w:hint="eastAsia"/>
          <w:color w:val="000000"/>
          <w:spacing w:val="6"/>
          <w:sz w:val="22"/>
          <w:szCs w:val="22"/>
        </w:rPr>
        <w:t>2、供应商投标货物属于节能、环保优先（强制）采购范围的，须提供相关证明材料。</w:t>
      </w:r>
    </w:p>
    <w:p>
      <w:pPr>
        <w:spacing w:line="588" w:lineRule="exact"/>
        <w:ind w:firstLine="464" w:firstLineChars="200"/>
        <w:rPr>
          <w:color w:val="000000"/>
          <w:spacing w:val="6"/>
          <w:sz w:val="22"/>
          <w:szCs w:val="22"/>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autoSpaceDE w:val="0"/>
        <w:autoSpaceDN w:val="0"/>
        <w:adjustRightInd w:val="0"/>
        <w:snapToGrid w:val="0"/>
        <w:spacing w:line="460" w:lineRule="atLeast"/>
        <w:ind w:firstLine="1965" w:firstLineChars="546"/>
        <w:textAlignment w:val="bottom"/>
        <w:rPr>
          <w:rFonts w:ascii="宋体" w:hAnsi="宋体"/>
          <w:sz w:val="32"/>
        </w:rPr>
      </w:pPr>
      <w:r>
        <w:rPr>
          <w:rFonts w:hint="eastAsia" w:ascii="宋体" w:hAnsi="宋体"/>
          <w:sz w:val="36"/>
        </w:rPr>
        <w:t>第五部分     合同格式（仅供参考）</w:t>
      </w:r>
    </w:p>
    <w:p>
      <w:pPr>
        <w:pStyle w:val="18"/>
        <w:spacing w:line="360" w:lineRule="exact"/>
        <w:ind w:left="0" w:leftChars="0"/>
        <w:rPr>
          <w:rFonts w:ascii="宋体" w:hAnsi="宋体" w:cs="宋体"/>
          <w:bCs/>
          <w:color w:val="auto"/>
          <w:sz w:val="22"/>
          <w:szCs w:val="22"/>
        </w:rPr>
      </w:pPr>
      <w:r>
        <w:rPr>
          <w:rFonts w:hint="eastAsia" w:ascii="宋体" w:hAnsi="宋体" w:cs="宋体"/>
          <w:bCs/>
          <w:color w:val="auto"/>
          <w:sz w:val="22"/>
          <w:szCs w:val="22"/>
        </w:rPr>
        <w:t>发包方：                     （以下简称甲方）</w:t>
      </w:r>
    </w:p>
    <w:p>
      <w:pPr>
        <w:spacing w:line="360" w:lineRule="exact"/>
        <w:rPr>
          <w:rFonts w:ascii="宋体" w:hAnsi="宋体" w:cs="宋体"/>
          <w:bCs/>
          <w:sz w:val="22"/>
          <w:szCs w:val="22"/>
        </w:rPr>
      </w:pPr>
      <w:r>
        <w:rPr>
          <w:rFonts w:hint="eastAsia" w:ascii="宋体" w:hAnsi="宋体" w:cs="宋体"/>
          <w:bCs/>
          <w:sz w:val="22"/>
          <w:szCs w:val="22"/>
        </w:rPr>
        <w:t>承包方：                     （以下简称乙方）</w:t>
      </w:r>
    </w:p>
    <w:p>
      <w:pPr>
        <w:spacing w:line="360" w:lineRule="exact"/>
        <w:ind w:firstLine="570"/>
        <w:rPr>
          <w:rFonts w:ascii="宋体" w:hAnsi="宋体" w:cs="宋体"/>
          <w:bCs/>
          <w:sz w:val="22"/>
          <w:szCs w:val="22"/>
        </w:rPr>
      </w:pPr>
      <w:r>
        <w:rPr>
          <w:rFonts w:hint="eastAsia" w:ascii="宋体" w:hAnsi="宋体" w:cs="宋体"/>
          <w:bCs/>
          <w:sz w:val="22"/>
          <w:szCs w:val="22"/>
        </w:rPr>
        <w:t>根据《平阳县宋埠站位水质提升与水质稳定</w:t>
      </w:r>
      <w:r>
        <w:rPr>
          <w:rFonts w:hint="eastAsia" w:ascii="宋体" w:hAnsi="宋体" w:cs="宋体"/>
          <w:bCs/>
          <w:sz w:val="22"/>
          <w:szCs w:val="22"/>
          <w:lang w:eastAsia="zh-CN"/>
        </w:rPr>
        <w:t>项目采购</w:t>
      </w:r>
      <w:r>
        <w:rPr>
          <w:rFonts w:hint="eastAsia" w:ascii="宋体" w:hAnsi="宋体" w:cs="宋体"/>
          <w:bCs/>
          <w:sz w:val="22"/>
          <w:szCs w:val="22"/>
        </w:rPr>
        <w:t>》的中标通知书，甲方将该项目承包给乙方，为了明确甲、乙双方的权利和义务，履行各自的职责，高效优质地完成业务，按照《中华人民共和国合同法》的有关规定，经甲乙双方在平等、自愿的基础上共同协商一致，现签订平阳县宋埠站位水质提升与水质稳定</w:t>
      </w:r>
      <w:r>
        <w:rPr>
          <w:rFonts w:hint="eastAsia" w:ascii="宋体" w:hAnsi="宋体" w:cs="宋体"/>
          <w:bCs/>
          <w:sz w:val="22"/>
          <w:szCs w:val="22"/>
          <w:lang w:eastAsia="zh-CN"/>
        </w:rPr>
        <w:t>项目采购</w:t>
      </w:r>
      <w:r>
        <w:rPr>
          <w:rFonts w:hint="eastAsia" w:ascii="宋体" w:hAnsi="宋体" w:cs="宋体"/>
          <w:bCs/>
          <w:sz w:val="22"/>
          <w:szCs w:val="22"/>
        </w:rPr>
        <w:t>业务承包合同。</w:t>
      </w:r>
    </w:p>
    <w:p>
      <w:pPr>
        <w:spacing w:line="360" w:lineRule="exact"/>
        <w:rPr>
          <w:rFonts w:ascii="宋体" w:hAnsi="宋体" w:cs="宋体"/>
          <w:bCs/>
          <w:sz w:val="22"/>
          <w:szCs w:val="22"/>
        </w:rPr>
      </w:pPr>
      <w:r>
        <w:rPr>
          <w:rFonts w:hint="eastAsia" w:ascii="宋体" w:hAnsi="宋体" w:cs="宋体"/>
          <w:bCs/>
          <w:sz w:val="22"/>
          <w:szCs w:val="22"/>
        </w:rPr>
        <w:t>第一条  名称</w:t>
      </w:r>
    </w:p>
    <w:p>
      <w:pPr>
        <w:spacing w:line="360" w:lineRule="exact"/>
        <w:rPr>
          <w:rFonts w:hint="eastAsia" w:ascii="宋体" w:hAnsi="宋体" w:eastAsia="宋体" w:cs="宋体"/>
          <w:sz w:val="22"/>
          <w:szCs w:val="22"/>
          <w:lang w:eastAsia="zh-CN"/>
        </w:rPr>
      </w:pPr>
      <w:r>
        <w:rPr>
          <w:rFonts w:hint="eastAsia" w:ascii="宋体" w:hAnsi="宋体" w:cs="宋体"/>
          <w:bCs/>
          <w:sz w:val="22"/>
          <w:szCs w:val="22"/>
        </w:rPr>
        <w:t xml:space="preserve"> </w:t>
      </w:r>
      <w:r>
        <w:rPr>
          <w:rFonts w:hint="eastAsia" w:ascii="宋体" w:hAnsi="宋体" w:cs="宋体"/>
          <w:sz w:val="22"/>
          <w:szCs w:val="22"/>
        </w:rPr>
        <w:t>平阳县宋埠站位水质提升与水质稳定</w:t>
      </w:r>
      <w:r>
        <w:rPr>
          <w:rFonts w:hint="eastAsia" w:ascii="宋体" w:hAnsi="宋体" w:cs="宋体"/>
          <w:sz w:val="22"/>
          <w:szCs w:val="22"/>
          <w:lang w:eastAsia="zh-CN"/>
        </w:rPr>
        <w:t>项目采购</w:t>
      </w:r>
    </w:p>
    <w:p>
      <w:pPr>
        <w:spacing w:line="360" w:lineRule="exact"/>
        <w:rPr>
          <w:rFonts w:ascii="宋体" w:hAnsi="宋体" w:cs="宋体"/>
          <w:bCs/>
          <w:sz w:val="22"/>
          <w:szCs w:val="22"/>
        </w:rPr>
      </w:pPr>
      <w:r>
        <w:rPr>
          <w:rFonts w:hint="eastAsia" w:ascii="宋体" w:hAnsi="宋体" w:cs="宋体"/>
          <w:bCs/>
          <w:sz w:val="22"/>
          <w:szCs w:val="22"/>
        </w:rPr>
        <w:t>第二条  承包内容</w:t>
      </w:r>
    </w:p>
    <w:p>
      <w:pPr>
        <w:spacing w:line="360" w:lineRule="exact"/>
        <w:ind w:firstLine="440" w:firstLineChars="200"/>
        <w:rPr>
          <w:rFonts w:ascii="宋体" w:hAnsi="宋体" w:cs="宋体"/>
          <w:bCs/>
          <w:sz w:val="22"/>
          <w:szCs w:val="22"/>
        </w:rPr>
      </w:pPr>
      <w:r>
        <w:rPr>
          <w:rFonts w:hint="eastAsia" w:ascii="宋体" w:hAnsi="宋体" w:cs="宋体"/>
          <w:bCs/>
          <w:sz w:val="22"/>
          <w:szCs w:val="22"/>
        </w:rPr>
        <w:t>见招标文件第二部分内容。</w:t>
      </w:r>
    </w:p>
    <w:p>
      <w:pPr>
        <w:spacing w:line="360" w:lineRule="exact"/>
        <w:rPr>
          <w:rFonts w:ascii="宋体" w:hAnsi="宋体" w:cs="宋体"/>
          <w:bCs/>
          <w:sz w:val="22"/>
          <w:szCs w:val="22"/>
        </w:rPr>
      </w:pPr>
      <w:r>
        <w:rPr>
          <w:rFonts w:hint="eastAsia" w:ascii="宋体" w:hAnsi="宋体" w:cs="宋体"/>
          <w:bCs/>
          <w:sz w:val="22"/>
          <w:szCs w:val="22"/>
        </w:rPr>
        <w:t>第三条  承包期限</w:t>
      </w:r>
    </w:p>
    <w:p>
      <w:pPr>
        <w:tabs>
          <w:tab w:val="left" w:pos="980"/>
        </w:tabs>
        <w:spacing w:line="460" w:lineRule="exact"/>
        <w:ind w:firstLine="431" w:firstLineChars="196"/>
        <w:rPr>
          <w:rFonts w:ascii="宋体" w:hAnsi="宋体" w:cs="宋体"/>
          <w:sz w:val="22"/>
          <w:szCs w:val="22"/>
        </w:rPr>
      </w:pPr>
      <w:r>
        <w:rPr>
          <w:rFonts w:hint="eastAsia" w:ascii="宋体" w:hAnsi="宋体" w:cs="宋体"/>
          <w:sz w:val="22"/>
          <w:szCs w:val="22"/>
        </w:rPr>
        <w:t>1、服务周期：</w:t>
      </w:r>
      <w:r>
        <w:rPr>
          <w:rFonts w:hint="eastAsia" w:ascii="宋体" w:hAnsi="宋体" w:cs="宋体"/>
          <w:bCs/>
          <w:sz w:val="22"/>
          <w:szCs w:val="22"/>
        </w:rPr>
        <w:t>平阳县宋埠站位</w:t>
      </w:r>
      <w:r>
        <w:rPr>
          <w:rFonts w:hint="eastAsia" w:ascii="宋体" w:hAnsi="宋体" w:cs="宋体"/>
          <w:sz w:val="22"/>
          <w:szCs w:val="22"/>
        </w:rPr>
        <w:t>水质提升治理期3个月，河道维护期24个月。</w:t>
      </w:r>
    </w:p>
    <w:p>
      <w:pPr>
        <w:tabs>
          <w:tab w:val="left" w:pos="980"/>
        </w:tabs>
        <w:spacing w:line="460" w:lineRule="exact"/>
        <w:ind w:firstLine="431" w:firstLineChars="196"/>
        <w:rPr>
          <w:rFonts w:ascii="宋体" w:hAnsi="宋体" w:cs="宋体"/>
          <w:sz w:val="22"/>
          <w:szCs w:val="22"/>
        </w:rPr>
      </w:pPr>
      <w:r>
        <w:rPr>
          <w:rFonts w:hint="eastAsia" w:ascii="宋体" w:hAnsi="宋体" w:cs="宋体"/>
          <w:sz w:val="22"/>
          <w:szCs w:val="22"/>
        </w:rPr>
        <w:t>2、质量要求：符合国家相应工程规范、标准的要求。</w:t>
      </w:r>
    </w:p>
    <w:p>
      <w:pPr>
        <w:spacing w:line="360" w:lineRule="exact"/>
        <w:rPr>
          <w:rFonts w:ascii="宋体" w:hAnsi="宋体" w:cs="宋体"/>
          <w:bCs/>
          <w:sz w:val="22"/>
          <w:szCs w:val="22"/>
        </w:rPr>
      </w:pPr>
      <w:r>
        <w:rPr>
          <w:rFonts w:hint="eastAsia" w:ascii="宋体" w:hAnsi="宋体" w:cs="宋体"/>
          <w:bCs/>
          <w:sz w:val="22"/>
          <w:szCs w:val="22"/>
        </w:rPr>
        <w:t>第四条  承包经费</w:t>
      </w:r>
    </w:p>
    <w:p>
      <w:pPr>
        <w:spacing w:line="360" w:lineRule="exact"/>
        <w:rPr>
          <w:rFonts w:ascii="宋体" w:hAnsi="宋体" w:cs="宋体"/>
          <w:bCs/>
          <w:sz w:val="22"/>
          <w:szCs w:val="22"/>
        </w:rPr>
      </w:pPr>
      <w:r>
        <w:rPr>
          <w:rFonts w:hint="eastAsia" w:ascii="宋体" w:hAnsi="宋体" w:cs="宋体"/>
          <w:bCs/>
          <w:sz w:val="22"/>
          <w:szCs w:val="22"/>
        </w:rPr>
        <w:t>（一）承包经费：      元（人民币大写：   拾  万  仟  佰  拾  元  角  分）。</w:t>
      </w:r>
    </w:p>
    <w:p>
      <w:pPr>
        <w:spacing w:line="360" w:lineRule="exact"/>
        <w:rPr>
          <w:rFonts w:ascii="宋体" w:hAnsi="宋体" w:cs="宋体"/>
          <w:bCs/>
          <w:sz w:val="22"/>
          <w:szCs w:val="22"/>
        </w:rPr>
      </w:pPr>
      <w:r>
        <w:rPr>
          <w:rFonts w:hint="eastAsia" w:ascii="宋体" w:hAnsi="宋体" w:cs="宋体"/>
          <w:bCs/>
          <w:sz w:val="22"/>
          <w:szCs w:val="22"/>
        </w:rPr>
        <w:t>（二）</w:t>
      </w:r>
      <w:r>
        <w:rPr>
          <w:rFonts w:hint="eastAsia" w:ascii="宋体" w:hAnsi="宋体" w:cs="宋体"/>
          <w:bCs/>
          <w:sz w:val="22"/>
          <w:szCs w:val="22"/>
          <w:u w:val="single"/>
        </w:rPr>
        <w:t>承包总价必须包括在承包区域内提供服务所需的费用（包括工人工资、奖金、房补、劳保福利、社保、意外保险、工伤费、教育培训费、暂住费及处理一切伤亡事故等费用）、机械台班费、水电费、工具材料费、垃圾清运费、安全文明生产装备费（包括工人冬、夏装工作服、救生衣等）、项目相关场地租赁等费用、企业应缴税金和应得利润、</w:t>
      </w:r>
      <w:r>
        <w:rPr>
          <w:rFonts w:hint="eastAsia" w:ascii="宋体" w:hAnsi="宋体" w:cs="宋体"/>
          <w:bCs/>
          <w:sz w:val="22"/>
          <w:szCs w:val="22"/>
          <w:u w:val="single"/>
          <w:lang w:val="en-US" w:eastAsia="zh-CN"/>
        </w:rPr>
        <w:t>招标代理服务费、</w:t>
      </w:r>
      <w:r>
        <w:rPr>
          <w:rFonts w:hint="eastAsia" w:ascii="宋体" w:hAnsi="宋体" w:cs="宋体"/>
          <w:bCs/>
          <w:sz w:val="22"/>
          <w:szCs w:val="22"/>
          <w:u w:val="single"/>
        </w:rPr>
        <w:t>应急等完成合同所需的一切本身和不可或缺的所有工作开支、政策性文件规定计合同包含的所有风险、责任等各项全部费用并承担一切风险责任。投标供应商认为完成本招标文件规定的项目承包内容所发生的直接成本、间接成本、利润、税金、政策性文件规定的费用、设备进出场费等一切费用均应计入投标报价，凡未列入的将被认为均已包含在投标总价中，今后不得以任何理由追加或调整。</w:t>
      </w:r>
    </w:p>
    <w:p>
      <w:pPr>
        <w:spacing w:line="400" w:lineRule="exact"/>
        <w:ind w:left="691" w:leftChars="15" w:hanging="660" w:hangingChars="300"/>
        <w:rPr>
          <w:rFonts w:ascii="宋体" w:hAnsi="宋体" w:cs="宋体"/>
          <w:sz w:val="22"/>
          <w:szCs w:val="22"/>
        </w:rPr>
      </w:pPr>
      <w:r>
        <w:rPr>
          <w:rFonts w:hint="eastAsia" w:ascii="宋体" w:hAnsi="宋体" w:cs="宋体"/>
          <w:sz w:val="22"/>
          <w:szCs w:val="22"/>
        </w:rPr>
        <w:t>（三）付款方式：</w:t>
      </w:r>
    </w:p>
    <w:p>
      <w:pPr>
        <w:snapToGrid w:val="0"/>
        <w:spacing w:line="460" w:lineRule="atLeast"/>
        <w:rPr>
          <w:sz w:val="22"/>
          <w:szCs w:val="22"/>
        </w:rPr>
      </w:pPr>
      <w:r>
        <w:rPr>
          <w:rFonts w:hint="eastAsia"/>
          <w:sz w:val="22"/>
          <w:szCs w:val="22"/>
        </w:rPr>
        <w:t>（</w:t>
      </w:r>
      <w:r>
        <w:rPr>
          <w:rFonts w:hint="eastAsia"/>
          <w:sz w:val="22"/>
          <w:szCs w:val="22"/>
          <w:lang w:val="en-US" w:eastAsia="zh-CN"/>
        </w:rPr>
        <w:t>1</w:t>
      </w:r>
      <w:r>
        <w:rPr>
          <w:rFonts w:hint="eastAsia"/>
          <w:sz w:val="22"/>
          <w:szCs w:val="22"/>
        </w:rPr>
        <w:t>）预付款：签订合同后，并进场施工后，</w:t>
      </w:r>
      <w:r>
        <w:rPr>
          <w:rFonts w:hint="eastAsia"/>
          <w:sz w:val="22"/>
          <w:szCs w:val="22"/>
          <w:lang w:val="en-US" w:eastAsia="zh-CN"/>
        </w:rPr>
        <w:t>15日内</w:t>
      </w:r>
      <w:r>
        <w:rPr>
          <w:rFonts w:hint="eastAsia"/>
          <w:sz w:val="22"/>
          <w:szCs w:val="22"/>
        </w:rPr>
        <w:t>采购人支付给中标供应商合同金额10%的预付款；</w:t>
      </w:r>
    </w:p>
    <w:p>
      <w:pPr>
        <w:snapToGrid w:val="0"/>
        <w:spacing w:line="460" w:lineRule="atLeast"/>
        <w:rPr>
          <w:sz w:val="22"/>
          <w:szCs w:val="22"/>
        </w:rPr>
      </w:pPr>
      <w:r>
        <w:rPr>
          <w:rFonts w:hint="eastAsia"/>
          <w:sz w:val="22"/>
          <w:szCs w:val="22"/>
        </w:rPr>
        <w:t>（</w:t>
      </w:r>
      <w:r>
        <w:rPr>
          <w:rFonts w:hint="eastAsia"/>
          <w:sz w:val="22"/>
          <w:szCs w:val="22"/>
          <w:lang w:val="en-US" w:eastAsia="zh-CN"/>
        </w:rPr>
        <w:t>2</w:t>
      </w:r>
      <w:r>
        <w:rPr>
          <w:rFonts w:hint="eastAsia"/>
          <w:sz w:val="22"/>
          <w:szCs w:val="22"/>
        </w:rPr>
        <w:t>）项目施工期完成且验收通过后，以及资料完整移交采购人后，采购人向中标供应商支付至合同价的3</w:t>
      </w:r>
      <w:r>
        <w:rPr>
          <w:rFonts w:hint="eastAsia"/>
          <w:sz w:val="22"/>
          <w:szCs w:val="22"/>
          <w:lang w:val="en-US" w:eastAsia="zh-CN"/>
        </w:rPr>
        <w:t>5</w:t>
      </w:r>
      <w:r>
        <w:rPr>
          <w:rFonts w:hint="eastAsia"/>
          <w:sz w:val="22"/>
          <w:szCs w:val="22"/>
        </w:rPr>
        <w:t>%；</w:t>
      </w:r>
    </w:p>
    <w:p>
      <w:pPr>
        <w:spacing w:line="400" w:lineRule="exact"/>
        <w:rPr>
          <w:rFonts w:ascii="宋体" w:hAnsi="宋体" w:cs="宋体"/>
          <w:sz w:val="22"/>
          <w:szCs w:val="22"/>
        </w:rPr>
      </w:pPr>
      <w:r>
        <w:rPr>
          <w:rFonts w:hint="eastAsia"/>
          <w:sz w:val="22"/>
          <w:szCs w:val="22"/>
        </w:rPr>
        <w:t>（</w:t>
      </w:r>
      <w:r>
        <w:rPr>
          <w:rFonts w:hint="eastAsia"/>
          <w:sz w:val="22"/>
          <w:szCs w:val="22"/>
          <w:lang w:val="en-US" w:eastAsia="zh-CN"/>
        </w:rPr>
        <w:t>3</w:t>
      </w:r>
      <w:r>
        <w:rPr>
          <w:rFonts w:hint="eastAsia"/>
          <w:sz w:val="22"/>
          <w:szCs w:val="22"/>
        </w:rPr>
        <w:t>）维护期满半年后，采购人向中标供应商支付至合同价的50%；维护期满一年后，采购人向中标供应商支付至合同价的6</w:t>
      </w:r>
      <w:r>
        <w:rPr>
          <w:rFonts w:hint="eastAsia"/>
          <w:sz w:val="22"/>
          <w:szCs w:val="22"/>
          <w:lang w:val="en-US" w:eastAsia="zh-CN"/>
        </w:rPr>
        <w:t>5</w:t>
      </w:r>
      <w:r>
        <w:rPr>
          <w:rFonts w:hint="eastAsia"/>
          <w:sz w:val="22"/>
          <w:szCs w:val="22"/>
        </w:rPr>
        <w:t>%；维护期满一年半后，采购人向中标供应商支付至合同价的</w:t>
      </w:r>
      <w:r>
        <w:rPr>
          <w:rFonts w:hint="eastAsia"/>
          <w:sz w:val="22"/>
          <w:szCs w:val="22"/>
          <w:lang w:val="en-US" w:eastAsia="zh-CN"/>
        </w:rPr>
        <w:t>80</w:t>
      </w:r>
      <w:r>
        <w:rPr>
          <w:rFonts w:hint="eastAsia"/>
          <w:sz w:val="22"/>
          <w:szCs w:val="22"/>
        </w:rPr>
        <w:t>%；维护期满两年后，</w:t>
      </w:r>
      <w:r>
        <w:rPr>
          <w:rFonts w:hint="eastAsia"/>
          <w:sz w:val="22"/>
          <w:szCs w:val="22"/>
          <w:lang w:val="en-US" w:eastAsia="zh-CN"/>
        </w:rPr>
        <w:t>维护期满后且无水质问题</w:t>
      </w:r>
      <w:r>
        <w:rPr>
          <w:rFonts w:hint="eastAsia"/>
          <w:sz w:val="22"/>
          <w:szCs w:val="22"/>
          <w:u w:val="none"/>
        </w:rPr>
        <w:t>，</w:t>
      </w:r>
      <w:r>
        <w:rPr>
          <w:rFonts w:hint="eastAsia"/>
          <w:sz w:val="22"/>
          <w:szCs w:val="22"/>
        </w:rPr>
        <w:t>采购人向中标供应商支付至审定结算总价的100%。</w:t>
      </w:r>
    </w:p>
    <w:p>
      <w:pPr>
        <w:spacing w:line="400" w:lineRule="exact"/>
        <w:rPr>
          <w:rFonts w:ascii="宋体" w:hAnsi="宋体" w:cs="宋体"/>
          <w:bCs/>
          <w:sz w:val="22"/>
          <w:szCs w:val="22"/>
        </w:rPr>
      </w:pPr>
      <w:r>
        <w:rPr>
          <w:rFonts w:hint="eastAsia" w:ascii="宋体" w:hAnsi="宋体" w:cs="宋体"/>
          <w:bCs/>
          <w:sz w:val="22"/>
          <w:szCs w:val="22"/>
        </w:rPr>
        <w:t>第五条  承包方式</w:t>
      </w:r>
    </w:p>
    <w:p>
      <w:pPr>
        <w:spacing w:line="360" w:lineRule="exact"/>
        <w:ind w:left="441" w:leftChars="210"/>
        <w:rPr>
          <w:rFonts w:ascii="宋体" w:hAnsi="宋体" w:cs="宋体"/>
          <w:bCs/>
          <w:color w:val="auto"/>
          <w:sz w:val="22"/>
          <w:szCs w:val="22"/>
        </w:rPr>
      </w:pPr>
      <w:r>
        <w:rPr>
          <w:rFonts w:hint="eastAsia" w:ascii="宋体" w:hAnsi="宋体" w:cs="宋体"/>
          <w:bCs/>
          <w:color w:val="auto"/>
          <w:sz w:val="22"/>
          <w:szCs w:val="22"/>
        </w:rPr>
        <w:t>采用全包干形式，即业务包干、经费包干方式。</w:t>
      </w:r>
    </w:p>
    <w:p>
      <w:pPr>
        <w:spacing w:line="360" w:lineRule="exact"/>
        <w:rPr>
          <w:rFonts w:ascii="宋体" w:hAnsi="宋体" w:cs="宋体"/>
          <w:b/>
          <w:sz w:val="22"/>
          <w:szCs w:val="22"/>
        </w:rPr>
      </w:pPr>
      <w:r>
        <w:rPr>
          <w:rFonts w:hint="eastAsia" w:ascii="宋体" w:hAnsi="宋体" w:cs="宋体"/>
          <w:bCs/>
          <w:sz w:val="22"/>
          <w:szCs w:val="22"/>
        </w:rPr>
        <w:t>第六条  工作要求和质量标准</w:t>
      </w:r>
    </w:p>
    <w:p>
      <w:pPr>
        <w:spacing w:line="360" w:lineRule="exact"/>
        <w:ind w:left="479" w:leftChars="228"/>
        <w:rPr>
          <w:rFonts w:ascii="宋体" w:hAnsi="宋体" w:cs="宋体"/>
          <w:bCs/>
          <w:sz w:val="22"/>
          <w:szCs w:val="22"/>
        </w:rPr>
      </w:pPr>
      <w:r>
        <w:rPr>
          <w:rFonts w:hint="eastAsia" w:ascii="宋体" w:hAnsi="宋体" w:cs="宋体"/>
          <w:bCs/>
          <w:sz w:val="22"/>
          <w:szCs w:val="22"/>
        </w:rPr>
        <w:t>各项具体工作的质量标准和作业规范按</w:t>
      </w:r>
      <w:r>
        <w:rPr>
          <w:rFonts w:hint="eastAsia" w:ascii="宋体" w:hAnsi="宋体" w:cs="宋体"/>
          <w:sz w:val="22"/>
          <w:szCs w:val="22"/>
        </w:rPr>
        <w:t>甲方具体要求及《采购文件》</w:t>
      </w:r>
      <w:r>
        <w:rPr>
          <w:rFonts w:hint="eastAsia" w:ascii="宋体" w:hAnsi="宋体" w:cs="宋体"/>
          <w:bCs/>
          <w:sz w:val="22"/>
          <w:szCs w:val="22"/>
        </w:rPr>
        <w:t>中所规定的执行。</w:t>
      </w:r>
    </w:p>
    <w:p>
      <w:pPr>
        <w:spacing w:line="360" w:lineRule="exact"/>
        <w:rPr>
          <w:rFonts w:ascii="宋体" w:hAnsi="宋体" w:cs="宋体"/>
          <w:bCs/>
          <w:sz w:val="22"/>
          <w:szCs w:val="22"/>
        </w:rPr>
      </w:pPr>
      <w:r>
        <w:rPr>
          <w:rFonts w:hint="eastAsia" w:ascii="宋体" w:hAnsi="宋体" w:cs="宋体"/>
          <w:bCs/>
          <w:sz w:val="22"/>
          <w:szCs w:val="22"/>
        </w:rPr>
        <w:t>第七条  履约保证金</w:t>
      </w:r>
    </w:p>
    <w:p>
      <w:pPr>
        <w:spacing w:line="360" w:lineRule="exact"/>
        <w:ind w:left="440" w:hanging="440" w:hangingChars="200"/>
        <w:rPr>
          <w:rFonts w:ascii="宋体" w:hAnsi="宋体" w:cs="宋体"/>
          <w:bCs/>
          <w:sz w:val="22"/>
          <w:szCs w:val="22"/>
        </w:rPr>
      </w:pPr>
      <w:r>
        <w:rPr>
          <w:rFonts w:hint="eastAsia" w:ascii="宋体" w:hAnsi="宋体" w:cs="宋体"/>
          <w:bCs/>
          <w:sz w:val="22"/>
          <w:szCs w:val="22"/>
        </w:rPr>
        <w:t>（一）签定合同后七个工作日内，乙方必须付合同款5％的合同履约保证金给甲方，甲方开给乙方合同履约保证金收据；</w:t>
      </w:r>
    </w:p>
    <w:p>
      <w:pPr>
        <w:spacing w:line="360" w:lineRule="exact"/>
        <w:rPr>
          <w:rFonts w:ascii="宋体" w:hAnsi="宋体" w:cs="宋体"/>
          <w:bCs/>
          <w:sz w:val="22"/>
          <w:szCs w:val="22"/>
        </w:rPr>
      </w:pPr>
      <w:r>
        <w:rPr>
          <w:rFonts w:hint="eastAsia" w:ascii="宋体" w:hAnsi="宋体" w:cs="宋体"/>
          <w:bCs/>
          <w:sz w:val="22"/>
          <w:szCs w:val="22"/>
        </w:rPr>
        <w:t>（二）</w:t>
      </w:r>
      <w:r>
        <w:rPr>
          <w:rFonts w:hint="eastAsia" w:ascii="宋体" w:hAnsi="宋体" w:cs="宋体"/>
          <w:bCs/>
          <w:sz w:val="22"/>
          <w:szCs w:val="22"/>
          <w:lang w:eastAsia="zh-CN"/>
        </w:rPr>
        <w:t>维护期满后且无水质问题，采购人无息退还履约保证金</w:t>
      </w:r>
      <w:r>
        <w:rPr>
          <w:rFonts w:hint="eastAsia" w:ascii="宋体" w:hAnsi="宋体" w:cs="宋体"/>
          <w:bCs/>
          <w:sz w:val="22"/>
          <w:szCs w:val="22"/>
        </w:rPr>
        <w:t>；</w:t>
      </w:r>
    </w:p>
    <w:p>
      <w:pPr>
        <w:spacing w:line="360" w:lineRule="exact"/>
        <w:ind w:left="440" w:hanging="440" w:hangingChars="200"/>
        <w:rPr>
          <w:rFonts w:ascii="宋体" w:hAnsi="宋体" w:cs="宋体"/>
          <w:bCs/>
          <w:sz w:val="22"/>
          <w:szCs w:val="22"/>
        </w:rPr>
      </w:pPr>
      <w:r>
        <w:rPr>
          <w:rFonts w:hint="eastAsia" w:ascii="宋体" w:hAnsi="宋体" w:cs="宋体"/>
          <w:bCs/>
          <w:sz w:val="22"/>
          <w:szCs w:val="22"/>
        </w:rPr>
        <w:t>（三）乙方不能按期保质保量完成业务，除承担相关责任外，甲方可相应没收合同履约保证金。</w:t>
      </w:r>
    </w:p>
    <w:p>
      <w:pPr>
        <w:spacing w:line="360" w:lineRule="exact"/>
        <w:rPr>
          <w:rFonts w:ascii="宋体" w:hAnsi="宋体" w:cs="宋体"/>
          <w:bCs/>
          <w:sz w:val="22"/>
          <w:szCs w:val="22"/>
        </w:rPr>
      </w:pPr>
      <w:r>
        <w:rPr>
          <w:rFonts w:hint="eastAsia" w:ascii="宋体" w:hAnsi="宋体" w:cs="宋体"/>
          <w:bCs/>
          <w:sz w:val="22"/>
          <w:szCs w:val="22"/>
        </w:rPr>
        <w:t>第八条  权利和义务</w:t>
      </w:r>
    </w:p>
    <w:p>
      <w:pPr>
        <w:spacing w:line="360" w:lineRule="exact"/>
        <w:rPr>
          <w:rFonts w:ascii="宋体" w:hAnsi="宋体" w:cs="宋体"/>
          <w:bCs/>
          <w:sz w:val="22"/>
          <w:szCs w:val="22"/>
        </w:rPr>
      </w:pPr>
      <w:r>
        <w:rPr>
          <w:rFonts w:hint="eastAsia" w:ascii="宋体" w:hAnsi="宋体" w:cs="宋体"/>
          <w:bCs/>
          <w:sz w:val="22"/>
          <w:szCs w:val="22"/>
        </w:rPr>
        <w:t>（一）甲方权利与义务</w:t>
      </w:r>
    </w:p>
    <w:p>
      <w:pPr>
        <w:spacing w:line="360" w:lineRule="exact"/>
        <w:ind w:left="220" w:hanging="220" w:hangingChars="100"/>
        <w:rPr>
          <w:rFonts w:ascii="宋体" w:hAnsi="宋体" w:cs="宋体"/>
          <w:bCs/>
          <w:sz w:val="22"/>
          <w:szCs w:val="22"/>
        </w:rPr>
      </w:pPr>
      <w:r>
        <w:rPr>
          <w:rFonts w:hint="eastAsia" w:ascii="宋体" w:hAnsi="宋体" w:cs="宋体"/>
          <w:bCs/>
          <w:sz w:val="22"/>
          <w:szCs w:val="22"/>
        </w:rPr>
        <w:t>1、甲方对乙方的业务进行全面的技术指导、检查、管理和监督，对检查中发现的质量问题及时向乙方提出书面或口头改进意见。</w:t>
      </w:r>
    </w:p>
    <w:p>
      <w:pPr>
        <w:spacing w:line="360" w:lineRule="exact"/>
        <w:rPr>
          <w:rFonts w:ascii="宋体" w:hAnsi="宋体" w:cs="宋体"/>
          <w:bCs/>
          <w:sz w:val="22"/>
          <w:szCs w:val="22"/>
        </w:rPr>
      </w:pPr>
      <w:r>
        <w:rPr>
          <w:rFonts w:hint="eastAsia" w:ascii="宋体" w:hAnsi="宋体" w:cs="宋体"/>
          <w:bCs/>
          <w:sz w:val="22"/>
          <w:szCs w:val="22"/>
        </w:rPr>
        <w:t>2、甲方监督检查乙方落实安全防火和安全生产措施。</w:t>
      </w:r>
    </w:p>
    <w:p>
      <w:pPr>
        <w:spacing w:line="360" w:lineRule="exact"/>
        <w:rPr>
          <w:rFonts w:ascii="宋体" w:hAnsi="宋体" w:cs="宋体"/>
          <w:bCs/>
          <w:sz w:val="22"/>
          <w:szCs w:val="22"/>
        </w:rPr>
      </w:pPr>
      <w:r>
        <w:rPr>
          <w:rFonts w:hint="eastAsia" w:ascii="宋体" w:hAnsi="宋体" w:cs="宋体"/>
          <w:bCs/>
          <w:sz w:val="22"/>
          <w:szCs w:val="22"/>
        </w:rPr>
        <w:t>3、甲方监督检查乙方对员工进行培训的情况，以提高</w:t>
      </w:r>
      <w:r>
        <w:rPr>
          <w:rFonts w:hint="eastAsia" w:ascii="宋体" w:hAnsi="宋体" w:cs="宋体"/>
          <w:bCs/>
          <w:sz w:val="22"/>
          <w:szCs w:val="22"/>
          <w:lang w:val="en-US" w:eastAsia="zh-CN"/>
        </w:rPr>
        <w:t>河道保洁</w:t>
      </w:r>
      <w:r>
        <w:rPr>
          <w:rFonts w:hint="eastAsia" w:ascii="宋体" w:hAnsi="宋体" w:cs="宋体"/>
          <w:bCs/>
          <w:sz w:val="22"/>
          <w:szCs w:val="22"/>
        </w:rPr>
        <w:t>的技术水平。</w:t>
      </w:r>
    </w:p>
    <w:p>
      <w:pPr>
        <w:spacing w:line="360" w:lineRule="exact"/>
        <w:rPr>
          <w:rFonts w:ascii="宋体" w:hAnsi="宋体" w:cs="宋体"/>
          <w:bCs/>
          <w:sz w:val="22"/>
          <w:szCs w:val="22"/>
        </w:rPr>
      </w:pPr>
      <w:r>
        <w:rPr>
          <w:rFonts w:hint="eastAsia" w:ascii="宋体" w:hAnsi="宋体" w:cs="宋体"/>
          <w:bCs/>
          <w:sz w:val="22"/>
          <w:szCs w:val="22"/>
        </w:rPr>
        <w:t>4、甲方可要求乙方调整不合格员工。</w:t>
      </w:r>
    </w:p>
    <w:p>
      <w:pPr>
        <w:spacing w:line="360" w:lineRule="exact"/>
        <w:ind w:left="330" w:hanging="330" w:hangingChars="150"/>
        <w:rPr>
          <w:rFonts w:ascii="宋体" w:hAnsi="宋体" w:cs="宋体"/>
          <w:bCs/>
          <w:sz w:val="22"/>
          <w:szCs w:val="22"/>
        </w:rPr>
      </w:pPr>
      <w:r>
        <w:rPr>
          <w:rFonts w:hint="eastAsia" w:ascii="宋体" w:hAnsi="宋体" w:cs="宋体"/>
          <w:bCs/>
          <w:sz w:val="22"/>
          <w:szCs w:val="22"/>
        </w:rPr>
        <w:t>6、甲方应按时支付款项。本合同的经费由政府拨款，如因政策影响，拨款未能及时到位，乙方不得以此为由而不履行本合同规定的义务。否则，甲方按规定扣罚。</w:t>
      </w:r>
    </w:p>
    <w:p>
      <w:pPr>
        <w:spacing w:line="360" w:lineRule="exact"/>
        <w:rPr>
          <w:rFonts w:ascii="宋体" w:hAnsi="宋体" w:cs="宋体"/>
          <w:bCs/>
          <w:sz w:val="22"/>
          <w:szCs w:val="22"/>
        </w:rPr>
      </w:pPr>
      <w:r>
        <w:rPr>
          <w:rFonts w:hint="eastAsia" w:ascii="宋体" w:hAnsi="宋体" w:cs="宋体"/>
          <w:bCs/>
          <w:sz w:val="22"/>
          <w:szCs w:val="22"/>
        </w:rPr>
        <w:t>（二）乙方权利和义务</w:t>
      </w:r>
    </w:p>
    <w:p>
      <w:pPr>
        <w:spacing w:line="360" w:lineRule="exact"/>
        <w:rPr>
          <w:rFonts w:ascii="宋体" w:hAnsi="宋体" w:cs="宋体"/>
          <w:bCs/>
          <w:sz w:val="22"/>
          <w:szCs w:val="22"/>
        </w:rPr>
      </w:pPr>
      <w:r>
        <w:rPr>
          <w:rFonts w:hint="eastAsia" w:ascii="宋体" w:hAnsi="宋体" w:cs="宋体"/>
          <w:bCs/>
          <w:sz w:val="22"/>
          <w:szCs w:val="22"/>
        </w:rPr>
        <w:t>1、乙方有权根据承包合同按期领取承包经费；</w:t>
      </w:r>
    </w:p>
    <w:p>
      <w:pPr>
        <w:spacing w:line="360" w:lineRule="exact"/>
        <w:ind w:left="330" w:hanging="330" w:hangingChars="150"/>
        <w:rPr>
          <w:rFonts w:ascii="宋体" w:hAnsi="宋体" w:cs="宋体"/>
          <w:bCs/>
          <w:sz w:val="22"/>
          <w:szCs w:val="22"/>
        </w:rPr>
      </w:pPr>
      <w:r>
        <w:rPr>
          <w:rFonts w:hint="eastAsia" w:ascii="宋体" w:hAnsi="宋体" w:cs="宋体"/>
          <w:bCs/>
          <w:sz w:val="22"/>
          <w:szCs w:val="22"/>
        </w:rPr>
        <w:t>2、乙方履行承诺的义务，并参加由甲方组织的检查和综合考评；</w:t>
      </w:r>
    </w:p>
    <w:p>
      <w:pPr>
        <w:spacing w:line="360" w:lineRule="exact"/>
        <w:rPr>
          <w:rFonts w:ascii="宋体" w:hAnsi="宋体" w:cs="宋体"/>
          <w:bCs/>
          <w:sz w:val="22"/>
          <w:szCs w:val="22"/>
        </w:rPr>
      </w:pPr>
      <w:r>
        <w:rPr>
          <w:rFonts w:hint="eastAsia" w:ascii="宋体" w:hAnsi="宋体" w:cs="宋体"/>
          <w:bCs/>
          <w:sz w:val="22"/>
          <w:szCs w:val="22"/>
        </w:rPr>
        <w:t>3、乙方应接受甲方的检查监督及指导；</w:t>
      </w:r>
    </w:p>
    <w:p>
      <w:pPr>
        <w:spacing w:line="360" w:lineRule="exact"/>
        <w:ind w:left="330" w:hanging="330" w:hangingChars="150"/>
        <w:rPr>
          <w:rFonts w:ascii="宋体" w:hAnsi="宋体" w:cs="宋体"/>
          <w:bCs/>
          <w:sz w:val="22"/>
          <w:szCs w:val="22"/>
        </w:rPr>
      </w:pPr>
      <w:r>
        <w:rPr>
          <w:rFonts w:hint="eastAsia" w:ascii="宋体" w:hAnsi="宋体" w:cs="宋体"/>
          <w:bCs/>
          <w:sz w:val="22"/>
          <w:szCs w:val="22"/>
        </w:rPr>
        <w:t>4、按甲方的要求开展工作，如有改变，乙方应提出书面申请，并征得甲方的书面同意；</w:t>
      </w:r>
    </w:p>
    <w:p>
      <w:pPr>
        <w:spacing w:line="360" w:lineRule="exact"/>
        <w:ind w:left="330" w:hanging="330" w:hangingChars="150"/>
        <w:rPr>
          <w:rFonts w:ascii="宋体" w:hAnsi="宋体" w:cs="宋体"/>
          <w:bCs/>
          <w:sz w:val="22"/>
          <w:szCs w:val="22"/>
        </w:rPr>
      </w:pPr>
      <w:r>
        <w:rPr>
          <w:rFonts w:hint="eastAsia" w:ascii="宋体" w:hAnsi="宋体" w:cs="宋体"/>
          <w:bCs/>
          <w:sz w:val="22"/>
          <w:szCs w:val="22"/>
        </w:rPr>
        <w:t>5、特殊情况下（台风和暴雨等），乙方应立即采取有效的防洪和防灾措施，确保工程和人员、财产安全,</w:t>
      </w:r>
      <w:r>
        <w:rPr>
          <w:rFonts w:hint="eastAsia" w:ascii="宋体" w:hAnsi="宋体" w:cs="宋体"/>
          <w:b/>
          <w:bCs/>
          <w:sz w:val="22"/>
          <w:szCs w:val="22"/>
        </w:rPr>
        <w:t>并承担所有财产损失责任</w:t>
      </w:r>
      <w:r>
        <w:rPr>
          <w:rFonts w:hint="eastAsia" w:ascii="宋体" w:hAnsi="宋体" w:cs="宋体"/>
          <w:bCs/>
          <w:sz w:val="22"/>
          <w:szCs w:val="22"/>
        </w:rPr>
        <w:t>。除应做好管辖地段保护工作外，还应服从甲方统一指挥和调动，参加抢险救灾工作；</w:t>
      </w:r>
    </w:p>
    <w:p>
      <w:pPr>
        <w:spacing w:line="360" w:lineRule="exact"/>
        <w:ind w:left="330" w:hanging="330" w:hangingChars="150"/>
        <w:rPr>
          <w:rFonts w:ascii="宋体" w:hAnsi="宋体" w:cs="宋体"/>
          <w:bCs/>
          <w:sz w:val="22"/>
          <w:szCs w:val="22"/>
        </w:rPr>
      </w:pPr>
      <w:r>
        <w:rPr>
          <w:rFonts w:hint="eastAsia" w:ascii="宋体" w:hAnsi="宋体" w:cs="宋体"/>
          <w:bCs/>
          <w:sz w:val="22"/>
          <w:szCs w:val="22"/>
        </w:rPr>
        <w:t>6、乙方根据本合同所承担的服务内容，按实际上岗人数自行到有关部门申办用工手续，</w:t>
      </w:r>
      <w:r>
        <w:rPr>
          <w:rFonts w:hint="eastAsia" w:ascii="宋体" w:hAnsi="宋体" w:cs="宋体"/>
          <w:sz w:val="22"/>
          <w:szCs w:val="22"/>
        </w:rPr>
        <w:t>遵守国家相关法律、法规及平阳县有关劳动、税务、社会保险等方面的规定，为</w:t>
      </w:r>
      <w:r>
        <w:rPr>
          <w:rFonts w:hint="eastAsia" w:ascii="宋体" w:hAnsi="宋体" w:cs="宋体"/>
          <w:bCs/>
          <w:sz w:val="22"/>
          <w:szCs w:val="22"/>
        </w:rPr>
        <w:t>员工办理劳动保险手续。</w:t>
      </w:r>
      <w:r>
        <w:rPr>
          <w:rFonts w:hint="eastAsia" w:ascii="宋体" w:hAnsi="宋体" w:cs="宋体"/>
          <w:sz w:val="22"/>
          <w:szCs w:val="22"/>
        </w:rPr>
        <w:t>员工基本工资不得低于瑞平阳县最低工资标准。加班费不得低于40元/日。</w:t>
      </w:r>
      <w:r>
        <w:rPr>
          <w:rFonts w:hint="eastAsia" w:ascii="宋体" w:hAnsi="宋体" w:cs="宋体"/>
          <w:bCs/>
          <w:sz w:val="22"/>
          <w:szCs w:val="22"/>
        </w:rPr>
        <w:t>要加强对其员工的教育管理工作，如发生违纪事件，由乙方承担一切经济责任和法律责任；</w:t>
      </w:r>
    </w:p>
    <w:p>
      <w:pPr>
        <w:spacing w:line="360" w:lineRule="exact"/>
        <w:rPr>
          <w:rFonts w:ascii="宋体" w:hAnsi="宋体" w:cs="宋体"/>
          <w:bCs/>
          <w:sz w:val="22"/>
          <w:szCs w:val="22"/>
        </w:rPr>
      </w:pPr>
      <w:r>
        <w:rPr>
          <w:rFonts w:hint="eastAsia" w:ascii="宋体" w:hAnsi="宋体" w:cs="宋体"/>
          <w:bCs/>
          <w:sz w:val="22"/>
          <w:szCs w:val="22"/>
        </w:rPr>
        <w:t>7、乙方应按甲方要求，为工人购买由甲方确认的工作服及救生衣；</w:t>
      </w:r>
    </w:p>
    <w:p>
      <w:pPr>
        <w:spacing w:line="360" w:lineRule="exact"/>
        <w:ind w:left="330" w:hanging="330" w:hangingChars="150"/>
        <w:rPr>
          <w:rFonts w:ascii="宋体" w:hAnsi="宋体" w:cs="宋体"/>
          <w:bCs/>
          <w:sz w:val="22"/>
          <w:szCs w:val="22"/>
        </w:rPr>
      </w:pPr>
      <w:r>
        <w:rPr>
          <w:rFonts w:hint="eastAsia" w:ascii="宋体" w:hAnsi="宋体" w:cs="宋体"/>
          <w:bCs/>
          <w:sz w:val="22"/>
          <w:szCs w:val="22"/>
        </w:rPr>
        <w:t>8、乙方负责提供所需的全部工具、设备、材料和救生设备；</w:t>
      </w:r>
    </w:p>
    <w:p>
      <w:pPr>
        <w:spacing w:line="360" w:lineRule="exact"/>
        <w:ind w:left="440" w:hanging="440" w:hangingChars="200"/>
        <w:rPr>
          <w:rFonts w:ascii="宋体" w:hAnsi="宋体" w:cs="宋体"/>
          <w:bCs/>
          <w:sz w:val="22"/>
          <w:szCs w:val="22"/>
        </w:rPr>
      </w:pPr>
      <w:r>
        <w:rPr>
          <w:rFonts w:hint="eastAsia" w:ascii="宋体" w:hAnsi="宋体" w:cs="宋体"/>
          <w:bCs/>
          <w:sz w:val="22"/>
          <w:szCs w:val="22"/>
        </w:rPr>
        <w:t>9、乙方须为承包区域的服务工作配备足够的人员，且聘用的工作人员必须符合劳动部门有关用工规定，用工人员必须熟悉水性，甲方有权进行审核，有权要求撤换那些不能胜任本职工作或行为不端或玩忽职守的工作人员，乙方应及时予以撤换；</w:t>
      </w:r>
    </w:p>
    <w:p>
      <w:pPr>
        <w:spacing w:line="360" w:lineRule="exact"/>
        <w:rPr>
          <w:rFonts w:ascii="宋体" w:hAnsi="宋体" w:cs="宋体"/>
          <w:bCs/>
          <w:sz w:val="22"/>
          <w:szCs w:val="22"/>
        </w:rPr>
      </w:pPr>
      <w:r>
        <w:rPr>
          <w:rFonts w:hint="eastAsia" w:ascii="宋体" w:hAnsi="宋体" w:cs="宋体"/>
          <w:bCs/>
          <w:sz w:val="22"/>
          <w:szCs w:val="22"/>
        </w:rPr>
        <w:t>10、乙方负责服务过程中的事故处理和一切费用；</w:t>
      </w:r>
    </w:p>
    <w:p>
      <w:pPr>
        <w:spacing w:line="360" w:lineRule="exact"/>
        <w:ind w:left="440" w:hanging="440" w:hangingChars="200"/>
        <w:rPr>
          <w:rFonts w:ascii="宋体" w:hAnsi="宋体" w:cs="宋体"/>
          <w:bCs/>
          <w:sz w:val="22"/>
          <w:szCs w:val="22"/>
        </w:rPr>
      </w:pPr>
      <w:r>
        <w:rPr>
          <w:rFonts w:hint="eastAsia" w:ascii="宋体" w:hAnsi="宋体" w:cs="宋体"/>
          <w:bCs/>
          <w:sz w:val="22"/>
          <w:szCs w:val="22"/>
        </w:rPr>
        <w:t>11、乙方必须重视安全工作，加强对人员的安全培训，编印安全防护手册给每位员工。建议配备专职的安全检查人员，确保承包期内不出安全责任事故，如发生安全责任事故，由乙方承担一切责任及经济赔偿。发生重大安全事故，应立即通告甲方，在事故发生后24小时内，向甲方提交事故情况的书面报告；</w:t>
      </w:r>
    </w:p>
    <w:p>
      <w:pPr>
        <w:spacing w:line="360" w:lineRule="exact"/>
        <w:ind w:left="440" w:hanging="440" w:hangingChars="200"/>
        <w:rPr>
          <w:rFonts w:ascii="宋体" w:hAnsi="宋体" w:cs="宋体"/>
          <w:bCs/>
          <w:sz w:val="22"/>
          <w:szCs w:val="22"/>
        </w:rPr>
      </w:pPr>
      <w:r>
        <w:rPr>
          <w:rFonts w:hint="eastAsia" w:ascii="宋体" w:hAnsi="宋体" w:cs="宋体"/>
          <w:bCs/>
          <w:sz w:val="22"/>
          <w:szCs w:val="22"/>
        </w:rPr>
        <w:t>12、乙方应严格遵守国家法律、法规的规定，定期发给施工人员的劳动保护用品，如水鞋、雨衣、手套等。做好社会治安综合治理和计划生育等工作，不得违反国家法律、法规和平阳县的有关规定；</w:t>
      </w:r>
    </w:p>
    <w:p>
      <w:pPr>
        <w:spacing w:line="360" w:lineRule="exact"/>
        <w:ind w:left="440" w:hanging="440" w:hangingChars="200"/>
        <w:rPr>
          <w:rFonts w:ascii="宋体" w:hAnsi="宋体" w:cs="宋体"/>
          <w:bCs/>
          <w:sz w:val="22"/>
          <w:szCs w:val="22"/>
        </w:rPr>
      </w:pPr>
      <w:r>
        <w:rPr>
          <w:rFonts w:hint="eastAsia" w:ascii="宋体" w:hAnsi="宋体" w:cs="宋体"/>
          <w:bCs/>
          <w:sz w:val="22"/>
          <w:szCs w:val="22"/>
        </w:rPr>
        <w:t>13、在合同期内，因建设或规划需要调整乙方</w:t>
      </w:r>
      <w:r>
        <w:rPr>
          <w:rFonts w:hint="eastAsia" w:ascii="宋体" w:hAnsi="宋体" w:cs="宋体"/>
          <w:sz w:val="22"/>
          <w:szCs w:val="22"/>
        </w:rPr>
        <w:t>范围及面积</w:t>
      </w:r>
      <w:r>
        <w:rPr>
          <w:rFonts w:hint="eastAsia" w:ascii="宋体" w:hAnsi="宋体" w:cs="宋体"/>
          <w:bCs/>
          <w:sz w:val="22"/>
          <w:szCs w:val="22"/>
        </w:rPr>
        <w:t>时，乙方要服从大局，相应增减承包面积及经费。由此造成的经济损失，甲方不负赔偿责任；</w:t>
      </w:r>
    </w:p>
    <w:p>
      <w:pPr>
        <w:spacing w:line="360" w:lineRule="exact"/>
        <w:ind w:left="440" w:hanging="440" w:hangingChars="200"/>
        <w:rPr>
          <w:rFonts w:ascii="宋体" w:hAnsi="宋体" w:cs="宋体"/>
          <w:bCs/>
          <w:sz w:val="22"/>
          <w:szCs w:val="22"/>
        </w:rPr>
      </w:pPr>
      <w:r>
        <w:rPr>
          <w:rFonts w:hint="eastAsia" w:ascii="宋体" w:hAnsi="宋体" w:cs="宋体"/>
          <w:bCs/>
          <w:sz w:val="22"/>
          <w:szCs w:val="22"/>
        </w:rPr>
        <w:t>14、乙方应遵守法律、法规和政策的规定，因以上原因使合同性质发生改变，甲方不负赔偿责任。</w:t>
      </w:r>
    </w:p>
    <w:p>
      <w:pPr>
        <w:spacing w:line="360" w:lineRule="exact"/>
        <w:rPr>
          <w:rFonts w:ascii="宋体" w:hAnsi="宋体" w:cs="宋体"/>
          <w:bCs/>
          <w:sz w:val="22"/>
          <w:szCs w:val="22"/>
        </w:rPr>
      </w:pPr>
      <w:r>
        <w:rPr>
          <w:rFonts w:hint="eastAsia" w:ascii="宋体" w:hAnsi="宋体" w:cs="宋体"/>
          <w:bCs/>
          <w:sz w:val="22"/>
          <w:szCs w:val="22"/>
        </w:rPr>
        <w:t>第九条    事故责任</w:t>
      </w:r>
    </w:p>
    <w:p>
      <w:pPr>
        <w:spacing w:line="360" w:lineRule="exact"/>
        <w:rPr>
          <w:rFonts w:ascii="宋体" w:hAnsi="宋体" w:cs="宋体"/>
          <w:bCs/>
          <w:sz w:val="22"/>
          <w:szCs w:val="22"/>
        </w:rPr>
      </w:pPr>
      <w:r>
        <w:rPr>
          <w:rFonts w:hint="eastAsia" w:ascii="宋体" w:hAnsi="宋体" w:cs="宋体"/>
          <w:bCs/>
          <w:sz w:val="22"/>
          <w:szCs w:val="22"/>
        </w:rPr>
        <w:t>（一）在承包期内，乙方应为其执行本合同所雇佣的全部人员承担工伤事故责任。</w:t>
      </w:r>
    </w:p>
    <w:p>
      <w:pPr>
        <w:spacing w:line="360" w:lineRule="exact"/>
        <w:ind w:left="550" w:hanging="550" w:hangingChars="250"/>
        <w:rPr>
          <w:rFonts w:ascii="宋体" w:hAnsi="宋体" w:cs="宋体"/>
          <w:bCs/>
          <w:sz w:val="22"/>
          <w:szCs w:val="22"/>
        </w:rPr>
      </w:pPr>
      <w:r>
        <w:rPr>
          <w:rFonts w:hint="eastAsia" w:ascii="宋体" w:hAnsi="宋体" w:cs="宋体"/>
          <w:bCs/>
          <w:sz w:val="22"/>
          <w:szCs w:val="22"/>
        </w:rPr>
        <w:t>（二）在承包期内，乙方应为其执行本合同所雇佣的全部人员投保人身意外伤害险，以保证甲方在乙方工作人员索偿时不受任何责任的约束。</w:t>
      </w:r>
    </w:p>
    <w:p>
      <w:pPr>
        <w:spacing w:line="360" w:lineRule="exact"/>
        <w:rPr>
          <w:rFonts w:ascii="宋体" w:hAnsi="宋体"/>
          <w:bCs/>
          <w:szCs w:val="21"/>
        </w:rPr>
      </w:pPr>
      <w:r>
        <w:rPr>
          <w:rFonts w:hint="eastAsia" w:ascii="宋体" w:hAnsi="宋体" w:cs="宋体"/>
          <w:bCs/>
          <w:sz w:val="22"/>
          <w:szCs w:val="22"/>
        </w:rPr>
        <w:t xml:space="preserve">第十条  </w:t>
      </w:r>
      <w:r>
        <w:rPr>
          <w:rFonts w:hint="eastAsia" w:ascii="宋体" w:hAnsi="宋体"/>
          <w:bCs/>
          <w:szCs w:val="21"/>
        </w:rPr>
        <w:t>检查考评办法</w:t>
      </w:r>
    </w:p>
    <w:p>
      <w:pPr>
        <w:tabs>
          <w:tab w:val="center" w:pos="4153"/>
        </w:tabs>
        <w:spacing w:line="400" w:lineRule="exact"/>
        <w:ind w:firstLine="315" w:firstLineChars="150"/>
        <w:rPr>
          <w:rFonts w:ascii="宋体" w:hAnsi="宋体"/>
          <w:bCs/>
          <w:szCs w:val="21"/>
        </w:rPr>
      </w:pPr>
      <w:r>
        <w:rPr>
          <w:rFonts w:hint="eastAsia" w:ascii="宋体" w:hAnsi="宋体"/>
          <w:bCs/>
          <w:szCs w:val="21"/>
        </w:rPr>
        <w:t>具体的检查验收方法、内容、程序等按（</w:t>
      </w:r>
      <w:r>
        <w:rPr>
          <w:rFonts w:hint="eastAsia" w:ascii="宋体" w:hAnsi="宋体"/>
          <w:sz w:val="22"/>
          <w:szCs w:val="22"/>
        </w:rPr>
        <w:t>平阳县宋埠站位水质提升与水质稳定</w:t>
      </w:r>
      <w:r>
        <w:rPr>
          <w:rFonts w:hint="eastAsia" w:ascii="宋体" w:hAnsi="宋体"/>
          <w:sz w:val="22"/>
          <w:szCs w:val="22"/>
          <w:lang w:eastAsia="zh-CN"/>
        </w:rPr>
        <w:t>项目采购</w:t>
      </w:r>
      <w:r>
        <w:rPr>
          <w:rFonts w:hint="eastAsia" w:ascii="宋体" w:hAnsi="宋体"/>
          <w:sz w:val="22"/>
          <w:szCs w:val="22"/>
        </w:rPr>
        <w:t>督查考核表</w:t>
      </w:r>
      <w:r>
        <w:rPr>
          <w:rFonts w:hint="eastAsia" w:ascii="宋体" w:hAnsi="宋体"/>
          <w:bCs/>
          <w:szCs w:val="21"/>
        </w:rPr>
        <w:t>）如下：</w:t>
      </w:r>
    </w:p>
    <w:p>
      <w:pPr>
        <w:autoSpaceDE w:val="0"/>
        <w:autoSpaceDN w:val="0"/>
        <w:adjustRightInd w:val="0"/>
        <w:snapToGrid w:val="0"/>
        <w:spacing w:line="460" w:lineRule="atLeast"/>
        <w:ind w:left="1" w:firstLine="437" w:firstLineChars="199"/>
        <w:rPr>
          <w:rFonts w:ascii="宋体"/>
          <w:sz w:val="22"/>
          <w:szCs w:val="22"/>
        </w:rPr>
      </w:pPr>
      <w:r>
        <w:rPr>
          <w:rFonts w:hint="eastAsia" w:ascii="宋体"/>
          <w:sz w:val="22"/>
          <w:szCs w:val="22"/>
        </w:rPr>
        <w:t>（一）日常维护及河面保洁</w:t>
      </w:r>
    </w:p>
    <w:p>
      <w:pPr>
        <w:snapToGrid w:val="0"/>
        <w:spacing w:line="460" w:lineRule="atLeast"/>
        <w:ind w:firstLine="420" w:firstLineChars="200"/>
      </w:pPr>
      <w:r>
        <w:rPr>
          <w:rFonts w:hint="eastAsia"/>
        </w:rPr>
        <w:t>1.日常巡查每周不少于三次，每少一次扣1分；</w:t>
      </w:r>
    </w:p>
    <w:p>
      <w:pPr>
        <w:snapToGrid w:val="0"/>
        <w:spacing w:line="460" w:lineRule="atLeast"/>
        <w:ind w:firstLine="420" w:firstLineChars="200"/>
      </w:pPr>
      <w:r>
        <w:rPr>
          <w:rFonts w:hint="eastAsia"/>
        </w:rPr>
        <w:t>2.未及时更换破损的浮盘、框架等材料每例扣1分；</w:t>
      </w:r>
    </w:p>
    <w:p>
      <w:pPr>
        <w:snapToGrid w:val="0"/>
        <w:spacing w:line="460" w:lineRule="atLeast"/>
        <w:ind w:firstLine="420" w:firstLineChars="200"/>
      </w:pPr>
      <w:r>
        <w:rPr>
          <w:rFonts w:hint="eastAsia"/>
        </w:rPr>
        <w:t>3.未及时清理河面的杂物或垃圾，每例扣0.5分；</w:t>
      </w:r>
    </w:p>
    <w:p>
      <w:pPr>
        <w:autoSpaceDE w:val="0"/>
        <w:autoSpaceDN w:val="0"/>
        <w:adjustRightInd w:val="0"/>
        <w:snapToGrid w:val="0"/>
        <w:spacing w:line="460" w:lineRule="atLeast"/>
        <w:ind w:firstLine="440" w:firstLineChars="200"/>
        <w:rPr>
          <w:rFonts w:ascii="宋体" w:hAnsi="宋体"/>
          <w:sz w:val="22"/>
          <w:szCs w:val="22"/>
        </w:rPr>
      </w:pPr>
      <w:r>
        <w:rPr>
          <w:rFonts w:hint="eastAsia" w:ascii="宋体"/>
          <w:sz w:val="22"/>
          <w:szCs w:val="22"/>
        </w:rPr>
        <w:t>（二）</w:t>
      </w:r>
      <w:r>
        <w:rPr>
          <w:sz w:val="22"/>
          <w:szCs w:val="22"/>
        </w:rPr>
        <w:t>水生植物的养护</w:t>
      </w:r>
    </w:p>
    <w:p>
      <w:pPr>
        <w:autoSpaceDE w:val="0"/>
        <w:autoSpaceDN w:val="0"/>
        <w:adjustRightInd w:val="0"/>
        <w:snapToGrid w:val="0"/>
        <w:spacing w:line="460" w:lineRule="atLeast"/>
        <w:ind w:firstLine="440" w:firstLineChars="200"/>
        <w:rPr>
          <w:rFonts w:ascii="宋体"/>
          <w:sz w:val="22"/>
          <w:szCs w:val="22"/>
        </w:rPr>
      </w:pPr>
      <w:r>
        <w:rPr>
          <w:rFonts w:hint="eastAsia" w:ascii="宋体"/>
          <w:sz w:val="22"/>
          <w:szCs w:val="22"/>
        </w:rPr>
        <w:t>1.未及时收割水生植物，每例扣0.5分；</w:t>
      </w:r>
    </w:p>
    <w:p>
      <w:pPr>
        <w:autoSpaceDE w:val="0"/>
        <w:autoSpaceDN w:val="0"/>
        <w:adjustRightInd w:val="0"/>
        <w:snapToGrid w:val="0"/>
        <w:spacing w:line="460" w:lineRule="atLeast"/>
        <w:ind w:firstLine="440" w:firstLineChars="200"/>
        <w:rPr>
          <w:rFonts w:ascii="宋体"/>
          <w:sz w:val="22"/>
          <w:szCs w:val="22"/>
        </w:rPr>
      </w:pPr>
      <w:r>
        <w:rPr>
          <w:rFonts w:hint="eastAsia" w:ascii="宋体"/>
          <w:sz w:val="22"/>
          <w:szCs w:val="22"/>
        </w:rPr>
        <w:t>2.未让植物安全越冬，每例扣0.5分；</w:t>
      </w:r>
    </w:p>
    <w:p>
      <w:pPr>
        <w:autoSpaceDE w:val="0"/>
        <w:autoSpaceDN w:val="0"/>
        <w:adjustRightInd w:val="0"/>
        <w:snapToGrid w:val="0"/>
        <w:spacing w:line="460" w:lineRule="atLeast"/>
        <w:ind w:firstLine="440" w:firstLineChars="200"/>
        <w:rPr>
          <w:rFonts w:ascii="宋体"/>
          <w:sz w:val="22"/>
          <w:szCs w:val="22"/>
        </w:rPr>
      </w:pPr>
      <w:r>
        <w:rPr>
          <w:rFonts w:hint="eastAsia" w:ascii="宋体"/>
          <w:sz w:val="22"/>
          <w:szCs w:val="22"/>
        </w:rPr>
        <w:t>3.未及时防治病虫害，每例扣0.5分；</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（三）</w:t>
      </w:r>
      <w:r>
        <w:rPr>
          <w:sz w:val="22"/>
          <w:szCs w:val="22"/>
        </w:rPr>
        <w:t>人工水草的养护要求</w:t>
      </w:r>
    </w:p>
    <w:p>
      <w:pPr>
        <w:autoSpaceDE w:val="0"/>
        <w:autoSpaceDN w:val="0"/>
        <w:adjustRightInd w:val="0"/>
        <w:snapToGrid w:val="0"/>
        <w:spacing w:line="460" w:lineRule="atLeast"/>
        <w:ind w:left="439" w:leftChars="209"/>
        <w:rPr>
          <w:rFonts w:ascii="宋体" w:hAnsi="宋体"/>
          <w:sz w:val="22"/>
          <w:szCs w:val="22"/>
        </w:rPr>
      </w:pPr>
      <w:r>
        <w:rPr>
          <w:rFonts w:hint="eastAsia" w:ascii="宋体" w:hAnsi="宋体"/>
          <w:sz w:val="22"/>
          <w:szCs w:val="22"/>
        </w:rPr>
        <w:t xml:space="preserve">1.未及时更换/处理或维护加固水草，每次扣0.5分； </w:t>
      </w:r>
    </w:p>
    <w:p>
      <w:pPr>
        <w:autoSpaceDE w:val="0"/>
        <w:autoSpaceDN w:val="0"/>
        <w:adjustRightInd w:val="0"/>
        <w:snapToGrid w:val="0"/>
        <w:spacing w:line="460" w:lineRule="atLeast"/>
        <w:ind w:left="418" w:leftChars="199"/>
        <w:rPr>
          <w:rFonts w:ascii="宋体" w:hAnsi="宋体"/>
          <w:sz w:val="22"/>
          <w:szCs w:val="22"/>
        </w:rPr>
      </w:pPr>
      <w:r>
        <w:rPr>
          <w:rFonts w:hint="eastAsia" w:ascii="宋体" w:hAnsi="宋体"/>
          <w:sz w:val="22"/>
          <w:szCs w:val="22"/>
        </w:rPr>
        <w:t>（四）</w:t>
      </w:r>
      <w:r>
        <w:rPr>
          <w:rFonts w:hint="eastAsia"/>
          <w:sz w:val="22"/>
          <w:szCs w:val="22"/>
          <w:lang w:val="en-US" w:eastAsia="zh-CN"/>
        </w:rPr>
        <w:t>设施</w:t>
      </w:r>
      <w:r>
        <w:rPr>
          <w:rFonts w:hint="eastAsia" w:ascii="宋体" w:hAnsi="宋体"/>
          <w:sz w:val="22"/>
          <w:szCs w:val="22"/>
        </w:rPr>
        <w:t>设备运维：</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1、每周定期巡检，每少一次扣1分</w:t>
      </w:r>
    </w:p>
    <w:p>
      <w:pPr>
        <w:autoSpaceDE w:val="0"/>
        <w:autoSpaceDN w:val="0"/>
        <w:adjustRightInd w:val="0"/>
        <w:snapToGrid w:val="0"/>
        <w:spacing w:line="460" w:lineRule="atLeast"/>
        <w:ind w:left="1" w:firstLine="437" w:firstLineChars="199"/>
      </w:pPr>
      <w:r>
        <w:rPr>
          <w:rFonts w:hint="eastAsia" w:ascii="宋体" w:hAnsi="宋体"/>
          <w:sz w:val="22"/>
          <w:szCs w:val="22"/>
        </w:rPr>
        <w:t>2、未及时清理周围漂浮物和垃圾，</w:t>
      </w:r>
      <w:r>
        <w:rPr>
          <w:rFonts w:hint="eastAsia"/>
        </w:rPr>
        <w:t>每例扣1分；</w:t>
      </w:r>
    </w:p>
    <w:p>
      <w:pPr>
        <w:autoSpaceDE w:val="0"/>
        <w:autoSpaceDN w:val="0"/>
        <w:adjustRightInd w:val="0"/>
        <w:snapToGrid w:val="0"/>
        <w:spacing w:line="460" w:lineRule="atLeast"/>
        <w:ind w:left="418" w:leftChars="199"/>
        <w:rPr>
          <w:rFonts w:ascii="宋体" w:hAnsi="宋体"/>
          <w:sz w:val="22"/>
          <w:szCs w:val="22"/>
        </w:rPr>
      </w:pPr>
      <w:r>
        <w:rPr>
          <w:rFonts w:hint="eastAsia" w:ascii="宋体" w:hAnsi="宋体"/>
          <w:sz w:val="22"/>
          <w:szCs w:val="22"/>
        </w:rPr>
        <w:t>（五）</w:t>
      </w:r>
      <w:r>
        <w:rPr>
          <w:sz w:val="22"/>
          <w:szCs w:val="22"/>
        </w:rPr>
        <w:t>水质维护</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1.每月定期投放微生物制剂并做好记录，每少一次扣2分；</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2.每个月对河道进行4次取样监测，每少一次扣1分；</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3.垃圾打捞上岸未送到采购人指定临时堆放点。每处扣1分；</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4.每月水质考核通报中出现治理段水质主要指标（溶解氧、高锰酸盐指数、氨氮、总磷、COD、透明度、PH值）没有达到地表水环境质量标准（GB3838-2002）Ⅳ类水标准，当月考核不合格；</w:t>
      </w:r>
    </w:p>
    <w:p>
      <w:pPr>
        <w:autoSpaceDE w:val="0"/>
        <w:autoSpaceDN w:val="0"/>
        <w:adjustRightInd w:val="0"/>
        <w:snapToGrid w:val="0"/>
        <w:spacing w:line="460" w:lineRule="atLeast"/>
        <w:ind w:firstLine="420" w:firstLineChars="200"/>
        <w:rPr>
          <w:sz w:val="22"/>
          <w:szCs w:val="22"/>
        </w:rPr>
      </w:pPr>
      <w:r>
        <w:rPr>
          <w:rFonts w:hint="eastAsia" w:ascii="宋体" w:hAnsi="宋体"/>
          <w:szCs w:val="21"/>
        </w:rPr>
        <w:t>（六）</w:t>
      </w:r>
      <w:r>
        <w:rPr>
          <w:rFonts w:hint="eastAsia"/>
          <w:sz w:val="22"/>
          <w:szCs w:val="22"/>
        </w:rPr>
        <w:t>安全作业</w:t>
      </w:r>
    </w:p>
    <w:p>
      <w:pPr>
        <w:autoSpaceDE w:val="0"/>
        <w:autoSpaceDN w:val="0"/>
        <w:adjustRightInd w:val="0"/>
        <w:snapToGrid w:val="0"/>
        <w:spacing w:line="460" w:lineRule="atLeast"/>
        <w:ind w:firstLine="440" w:firstLineChars="200"/>
        <w:rPr>
          <w:rFonts w:ascii="宋体" w:hAnsi="宋体"/>
          <w:sz w:val="22"/>
          <w:szCs w:val="22"/>
        </w:rPr>
      </w:pPr>
      <w:r>
        <w:rPr>
          <w:rFonts w:hint="eastAsia" w:ascii="宋体" w:hAnsi="宋体"/>
          <w:sz w:val="22"/>
          <w:szCs w:val="22"/>
        </w:rPr>
        <w:t>1.发生安全事故的，扣5分，若由于中标人原因导致情节严重，采购人有权直接解除合同；</w:t>
      </w:r>
    </w:p>
    <w:p>
      <w:pPr>
        <w:autoSpaceDE w:val="0"/>
        <w:autoSpaceDN w:val="0"/>
        <w:adjustRightInd w:val="0"/>
        <w:snapToGrid w:val="0"/>
        <w:spacing w:line="460" w:lineRule="atLeast"/>
        <w:ind w:firstLine="440" w:firstLineChars="200"/>
        <w:rPr>
          <w:rFonts w:ascii="宋体" w:hAnsi="宋体"/>
          <w:sz w:val="22"/>
          <w:szCs w:val="22"/>
        </w:rPr>
      </w:pPr>
      <w:r>
        <w:rPr>
          <w:rFonts w:hint="eastAsia" w:ascii="宋体" w:hAnsi="宋体"/>
          <w:sz w:val="22"/>
          <w:szCs w:val="22"/>
        </w:rPr>
        <w:t>2.工作人员上岗不按规定着装或不穿救生衣的，每人扣1分；</w:t>
      </w:r>
    </w:p>
    <w:p>
      <w:pPr>
        <w:autoSpaceDE w:val="0"/>
        <w:autoSpaceDN w:val="0"/>
        <w:adjustRightInd w:val="0"/>
        <w:snapToGrid w:val="0"/>
        <w:spacing w:line="460" w:lineRule="atLeast"/>
        <w:ind w:firstLine="440" w:firstLineChars="200"/>
        <w:rPr>
          <w:rFonts w:ascii="宋体" w:hAnsi="宋体"/>
          <w:szCs w:val="21"/>
        </w:rPr>
      </w:pPr>
      <w:r>
        <w:rPr>
          <w:rFonts w:hint="eastAsia" w:ascii="宋体" w:hAnsi="宋体"/>
          <w:sz w:val="22"/>
          <w:szCs w:val="22"/>
        </w:rPr>
        <w:t>3</w:t>
      </w:r>
      <w:r>
        <w:rPr>
          <w:rFonts w:hint="eastAsia" w:ascii="宋体" w:hAnsi="宋体"/>
          <w:szCs w:val="21"/>
        </w:rPr>
        <w:t>.工作人员酒后作业的，每发现一例扣5分；</w:t>
      </w:r>
    </w:p>
    <w:p>
      <w:pPr>
        <w:autoSpaceDE w:val="0"/>
        <w:autoSpaceDN w:val="0"/>
        <w:adjustRightInd w:val="0"/>
        <w:snapToGrid w:val="0"/>
        <w:spacing w:line="460" w:lineRule="atLeast"/>
        <w:ind w:firstLine="420" w:firstLineChars="200"/>
        <w:rPr>
          <w:rFonts w:ascii="宋体" w:hAnsi="宋体"/>
          <w:szCs w:val="21"/>
        </w:rPr>
      </w:pPr>
      <w:r>
        <w:rPr>
          <w:rFonts w:hint="eastAsia" w:ascii="宋体" w:hAnsi="宋体"/>
          <w:szCs w:val="21"/>
        </w:rPr>
        <w:t>（七）售后服务</w:t>
      </w:r>
    </w:p>
    <w:p>
      <w:pPr>
        <w:spacing w:line="400" w:lineRule="exact"/>
        <w:ind w:firstLine="440" w:firstLineChars="200"/>
        <w:rPr>
          <w:rFonts w:ascii="宋体" w:hAnsi="宋体"/>
          <w:sz w:val="22"/>
          <w:szCs w:val="22"/>
        </w:rPr>
      </w:pPr>
      <w:r>
        <w:rPr>
          <w:rFonts w:hint="eastAsia" w:ascii="宋体" w:hAnsi="宋体"/>
          <w:sz w:val="22"/>
          <w:szCs w:val="22"/>
        </w:rPr>
        <w:t>1.针对业主指出的相关问题须整改到位，未在规定时间内按要求及时整改到位的，每例扣5分；</w:t>
      </w:r>
    </w:p>
    <w:p>
      <w:pPr>
        <w:spacing w:line="400" w:lineRule="exact"/>
        <w:ind w:firstLine="440" w:firstLineChars="200"/>
        <w:rPr>
          <w:rFonts w:ascii="宋体" w:hAnsi="宋体"/>
          <w:b/>
          <w:bCs/>
          <w:color w:val="auto"/>
          <w:sz w:val="22"/>
          <w:szCs w:val="22"/>
        </w:rPr>
      </w:pPr>
      <w:r>
        <w:rPr>
          <w:rFonts w:hint="eastAsia" w:ascii="宋体" w:hAnsi="宋体"/>
          <w:sz w:val="22"/>
          <w:szCs w:val="22"/>
        </w:rPr>
        <w:t>备注：</w:t>
      </w:r>
      <w:r>
        <w:rPr>
          <w:rFonts w:hint="eastAsia" w:ascii="宋体" w:hAnsi="宋体"/>
          <w:b/>
          <w:bCs/>
          <w:color w:val="auto"/>
          <w:sz w:val="22"/>
          <w:szCs w:val="22"/>
          <w:lang w:val="en-US" w:eastAsia="zh-CN"/>
        </w:rPr>
        <w:t>（1）</w:t>
      </w:r>
      <w:r>
        <w:rPr>
          <w:rFonts w:hint="eastAsia" w:ascii="宋体" w:hAnsi="宋体"/>
          <w:b/>
          <w:bCs/>
          <w:color w:val="auto"/>
          <w:sz w:val="22"/>
          <w:szCs w:val="22"/>
        </w:rPr>
        <w:t>每月环保等部门对本项目治理段水质取样检测，治理段水质主要指标（溶解氧、高锰酸盐指数、氨氮、总磷、COD、透明度、PH值）达到地表水环境质量标准（GB3838-2002）Ⅳ类水标准，水体不允许出现黑臭现象。</w:t>
      </w:r>
    </w:p>
    <w:p>
      <w:pPr>
        <w:spacing w:line="400" w:lineRule="exact"/>
        <w:ind w:firstLine="442" w:firstLineChars="200"/>
        <w:rPr>
          <w:rFonts w:ascii="宋体" w:hAnsi="宋体"/>
          <w:b/>
          <w:bCs/>
          <w:color w:val="auto"/>
          <w:sz w:val="22"/>
          <w:szCs w:val="22"/>
        </w:rPr>
      </w:pPr>
      <w:r>
        <w:rPr>
          <w:rFonts w:hint="eastAsia" w:ascii="宋体" w:hAnsi="宋体"/>
          <w:b/>
          <w:bCs/>
          <w:color w:val="auto"/>
          <w:sz w:val="22"/>
          <w:szCs w:val="22"/>
          <w:lang w:val="en-US" w:eastAsia="zh-CN"/>
        </w:rPr>
        <w:t>（2）</w:t>
      </w:r>
      <w:r>
        <w:rPr>
          <w:rFonts w:hint="eastAsia" w:ascii="宋体" w:hAnsi="宋体"/>
          <w:b/>
          <w:bCs/>
          <w:color w:val="auto"/>
          <w:sz w:val="22"/>
          <w:szCs w:val="22"/>
        </w:rPr>
        <w:t>如乙方本月考核综合得分，未达到90分，则按比例扣除费用。具体扣除方法：当月得分在90分至80分之间（含），每降低一分扣</w:t>
      </w:r>
      <w:r>
        <w:rPr>
          <w:rFonts w:hint="eastAsia" w:ascii="宋体" w:hAnsi="宋体"/>
          <w:b/>
          <w:bCs/>
          <w:color w:val="auto"/>
          <w:sz w:val="22"/>
          <w:szCs w:val="22"/>
          <w:lang w:val="en-US" w:eastAsia="zh-CN"/>
        </w:rPr>
        <w:t>2</w:t>
      </w:r>
      <w:r>
        <w:rPr>
          <w:rFonts w:hint="eastAsia" w:ascii="宋体" w:hAnsi="宋体"/>
          <w:b/>
          <w:bCs/>
          <w:color w:val="auto"/>
          <w:sz w:val="22"/>
          <w:szCs w:val="22"/>
        </w:rPr>
        <w:t>000元；当月得分在80分以下或当月市对县或县对镇的水质情况通报中水质考核通报中出现治理段水质主要指标（溶解氧、高锰酸盐指数、氨氮、总磷、COD、透明度、PH值）没有达到地表水环境质量标准（GB3838-2002）Ⅳ类水标准，本月考核按不合格处理，不再另行扣分。考核不合格每次扣除</w:t>
      </w:r>
      <w:r>
        <w:rPr>
          <w:rFonts w:hint="eastAsia" w:ascii="宋体" w:hAnsi="宋体"/>
          <w:b/>
          <w:bCs/>
          <w:color w:val="auto"/>
          <w:sz w:val="22"/>
          <w:szCs w:val="22"/>
          <w:lang w:val="en-US" w:eastAsia="zh-CN"/>
        </w:rPr>
        <w:t>合同总金额的2%</w:t>
      </w:r>
      <w:r>
        <w:rPr>
          <w:rFonts w:hint="eastAsia" w:ascii="宋体" w:hAnsi="宋体"/>
          <w:b/>
          <w:bCs/>
          <w:color w:val="auto"/>
          <w:sz w:val="22"/>
          <w:szCs w:val="22"/>
        </w:rPr>
        <w:t>。</w:t>
      </w:r>
    </w:p>
    <w:p>
      <w:pPr>
        <w:spacing w:line="400" w:lineRule="exact"/>
        <w:ind w:firstLine="442" w:firstLineChars="200"/>
        <w:rPr>
          <w:rFonts w:ascii="宋体" w:hAnsi="宋体"/>
          <w:b/>
          <w:bCs/>
          <w:sz w:val="22"/>
          <w:szCs w:val="22"/>
        </w:rPr>
      </w:pPr>
      <w:r>
        <w:rPr>
          <w:rFonts w:hint="eastAsia" w:ascii="宋体" w:hAnsi="宋体"/>
          <w:b/>
          <w:bCs/>
          <w:color w:val="auto"/>
          <w:sz w:val="22"/>
          <w:szCs w:val="22"/>
          <w:lang w:val="en-US" w:eastAsia="zh-CN"/>
        </w:rPr>
        <w:t>（3）连续三次考核分数不合格或</w:t>
      </w:r>
      <w:r>
        <w:rPr>
          <w:rFonts w:hint="eastAsia" w:ascii="宋体" w:hAnsi="宋体"/>
          <w:b/>
          <w:bCs/>
          <w:color w:val="auto"/>
          <w:sz w:val="22"/>
          <w:szCs w:val="22"/>
        </w:rPr>
        <w:t>连续两次市对县或县对镇每月水质情况通报中出现治理段水质主要指标（溶解氧、高锰酸盐指数、氨氮、总磷、COD、透明度、PH值）没有达到地表水环境质量标准（GB3838-2002）Ⅳ类水标准</w:t>
      </w:r>
      <w:r>
        <w:rPr>
          <w:rFonts w:hint="eastAsia" w:ascii="宋体" w:hAnsi="宋体"/>
          <w:b/>
          <w:bCs/>
          <w:color w:val="auto"/>
          <w:sz w:val="22"/>
          <w:szCs w:val="22"/>
          <w:lang w:eastAsia="zh-CN"/>
        </w:rPr>
        <w:t>，</w:t>
      </w:r>
      <w:r>
        <w:rPr>
          <w:rFonts w:hint="eastAsia" w:ascii="宋体" w:hAnsi="宋体"/>
          <w:b/>
          <w:bCs/>
          <w:color w:val="auto"/>
          <w:sz w:val="22"/>
          <w:szCs w:val="22"/>
        </w:rPr>
        <w:t>或服务期累计出现6次治理段主要指标（</w:t>
      </w:r>
      <w:r>
        <w:rPr>
          <w:rFonts w:hint="eastAsia" w:ascii="宋体" w:hAnsi="宋体"/>
          <w:b/>
          <w:bCs/>
          <w:color w:val="auto"/>
          <w:sz w:val="22"/>
          <w:szCs w:val="22"/>
          <w:lang w:eastAsia="zh-CN"/>
        </w:rPr>
        <w:t>溶解氧、高锰酸盐指数、氨氮、总磷、COD、透明度、PH值</w:t>
      </w:r>
      <w:r>
        <w:rPr>
          <w:rFonts w:hint="eastAsia" w:ascii="宋体" w:hAnsi="宋体"/>
          <w:b/>
          <w:bCs/>
          <w:color w:val="auto"/>
          <w:sz w:val="22"/>
          <w:szCs w:val="22"/>
        </w:rPr>
        <w:t>）</w:t>
      </w:r>
      <w:r>
        <w:rPr>
          <w:rFonts w:hint="eastAsia" w:ascii="宋体" w:hAnsi="宋体"/>
          <w:b/>
          <w:bCs/>
          <w:color w:val="auto"/>
          <w:sz w:val="22"/>
          <w:szCs w:val="22"/>
          <w:lang w:eastAsia="zh-CN"/>
        </w:rPr>
        <w:t>没有</w:t>
      </w:r>
      <w:r>
        <w:rPr>
          <w:rFonts w:hint="eastAsia" w:ascii="宋体" w:hAnsi="宋体"/>
          <w:b/>
          <w:bCs/>
          <w:color w:val="auto"/>
          <w:sz w:val="22"/>
          <w:szCs w:val="22"/>
        </w:rPr>
        <w:t>达到地表水环境质量标准（GB3838-2002）Ⅳ类水标准的，视同中标单位违约，采购人有权单方终止本合同。</w:t>
      </w:r>
    </w:p>
    <w:p>
      <w:pPr>
        <w:spacing w:line="360" w:lineRule="exact"/>
        <w:rPr>
          <w:rFonts w:ascii="宋体" w:hAnsi="宋体" w:cs="宋体"/>
          <w:bCs/>
          <w:sz w:val="22"/>
          <w:szCs w:val="22"/>
        </w:rPr>
      </w:pPr>
      <w:r>
        <w:rPr>
          <w:rFonts w:hint="eastAsia" w:ascii="宋体" w:hAnsi="宋体" w:cs="宋体"/>
          <w:bCs/>
          <w:sz w:val="22"/>
          <w:szCs w:val="22"/>
        </w:rPr>
        <w:t>第十一条  合同组成</w:t>
      </w:r>
    </w:p>
    <w:p>
      <w:pPr>
        <w:spacing w:line="360" w:lineRule="exact"/>
        <w:ind w:left="439" w:leftChars="209"/>
        <w:rPr>
          <w:rFonts w:ascii="宋体" w:hAnsi="宋体" w:cs="宋体"/>
          <w:bCs/>
          <w:sz w:val="22"/>
          <w:szCs w:val="22"/>
        </w:rPr>
      </w:pPr>
      <w:r>
        <w:rPr>
          <w:rFonts w:hint="eastAsia" w:ascii="宋体" w:hAnsi="宋体" w:cs="宋体"/>
          <w:bCs/>
          <w:sz w:val="22"/>
          <w:szCs w:val="22"/>
        </w:rPr>
        <w:t>承包合同由《招标文件》、《</w:t>
      </w:r>
      <w:r>
        <w:rPr>
          <w:rFonts w:hint="eastAsia" w:ascii="宋体" w:hAnsi="宋体" w:cs="宋体"/>
          <w:snapToGrid w:val="0"/>
          <w:sz w:val="22"/>
          <w:szCs w:val="22"/>
        </w:rPr>
        <w:t>投标</w:t>
      </w:r>
      <w:r>
        <w:rPr>
          <w:rFonts w:hint="eastAsia" w:ascii="宋体" w:hAnsi="宋体" w:cs="宋体"/>
          <w:bCs/>
          <w:sz w:val="22"/>
          <w:szCs w:val="22"/>
        </w:rPr>
        <w:t>文件》、为本合同的有效组成部分。</w:t>
      </w:r>
    </w:p>
    <w:p>
      <w:pPr>
        <w:spacing w:line="360" w:lineRule="exact"/>
        <w:rPr>
          <w:rFonts w:ascii="宋体" w:hAnsi="宋体" w:cs="宋体"/>
          <w:bCs/>
          <w:sz w:val="22"/>
          <w:szCs w:val="22"/>
        </w:rPr>
      </w:pPr>
      <w:r>
        <w:rPr>
          <w:rFonts w:hint="eastAsia" w:ascii="宋体" w:hAnsi="宋体" w:cs="宋体"/>
          <w:bCs/>
          <w:sz w:val="22"/>
          <w:szCs w:val="22"/>
        </w:rPr>
        <w:t>第十二条  违约责任</w:t>
      </w:r>
    </w:p>
    <w:p>
      <w:pPr>
        <w:spacing w:line="360" w:lineRule="exact"/>
        <w:ind w:left="437" w:leftChars="208"/>
        <w:rPr>
          <w:rFonts w:ascii="宋体" w:hAnsi="宋体" w:cs="宋体"/>
          <w:bCs/>
          <w:sz w:val="22"/>
          <w:szCs w:val="22"/>
        </w:rPr>
      </w:pPr>
      <w:r>
        <w:rPr>
          <w:rFonts w:hint="eastAsia" w:ascii="宋体" w:hAnsi="宋体" w:cs="宋体"/>
          <w:bCs/>
          <w:sz w:val="22"/>
          <w:szCs w:val="22"/>
        </w:rPr>
        <w:t>乙方违反</w:t>
      </w:r>
      <w:r>
        <w:rPr>
          <w:rFonts w:hint="eastAsia" w:ascii="宋体" w:hAnsi="宋体" w:cs="宋体"/>
          <w:sz w:val="22"/>
          <w:szCs w:val="22"/>
        </w:rPr>
        <w:t>甲方具体要求及</w:t>
      </w:r>
      <w:r>
        <w:rPr>
          <w:rFonts w:hint="eastAsia" w:ascii="宋体" w:hAnsi="宋体" w:cs="宋体"/>
          <w:bCs/>
          <w:sz w:val="22"/>
          <w:szCs w:val="22"/>
        </w:rPr>
        <w:t>《采购文件》规定的行为均属违约行为。甲方根据上述规定条款，视乙方</w:t>
      </w:r>
    </w:p>
    <w:p>
      <w:pPr>
        <w:spacing w:line="360" w:lineRule="exact"/>
      </w:pPr>
      <w:r>
        <w:rPr>
          <w:rFonts w:hint="eastAsia" w:ascii="宋体" w:hAnsi="宋体" w:cs="宋体"/>
          <w:bCs/>
          <w:sz w:val="22"/>
          <w:szCs w:val="22"/>
        </w:rPr>
        <w:t>违反规定的情节轻重，做出批评教育、警告、扣罚处理，情节严重者，甲方有权单方终止本合同，由乙方承担一切经济损失和法律责任。因乙方违约造成甲方损失的，甲方从乙方缴纳的履约保证金中扣除。</w:t>
      </w:r>
    </w:p>
    <w:p>
      <w:pPr>
        <w:spacing w:line="360" w:lineRule="exact"/>
        <w:rPr>
          <w:rFonts w:ascii="宋体" w:hAnsi="宋体" w:cs="宋体"/>
          <w:bCs/>
          <w:sz w:val="22"/>
          <w:szCs w:val="22"/>
        </w:rPr>
      </w:pPr>
      <w:r>
        <w:rPr>
          <w:rFonts w:hint="eastAsia" w:ascii="宋体" w:hAnsi="宋体" w:cs="宋体"/>
          <w:bCs/>
          <w:sz w:val="22"/>
          <w:szCs w:val="22"/>
        </w:rPr>
        <w:t>第十三条  验收移交</w:t>
      </w:r>
    </w:p>
    <w:p>
      <w:pPr>
        <w:spacing w:line="360" w:lineRule="exact"/>
        <w:rPr>
          <w:rFonts w:ascii="宋体" w:hAnsi="宋体" w:cs="宋体"/>
          <w:bCs/>
          <w:sz w:val="22"/>
          <w:szCs w:val="22"/>
        </w:rPr>
      </w:pPr>
      <w:r>
        <w:rPr>
          <w:rFonts w:hint="eastAsia" w:ascii="宋体" w:hAnsi="宋体" w:cs="宋体"/>
          <w:bCs/>
          <w:sz w:val="22"/>
          <w:szCs w:val="22"/>
        </w:rPr>
        <w:t>（一）在合同终止前十个工作日内，由乙方书面向甲方提出移交验收申请。</w:t>
      </w:r>
    </w:p>
    <w:p>
      <w:pPr>
        <w:spacing w:line="360" w:lineRule="exact"/>
        <w:ind w:left="550" w:hanging="550" w:hangingChars="250"/>
        <w:rPr>
          <w:rFonts w:ascii="宋体" w:hAnsi="宋体" w:cs="宋体"/>
          <w:sz w:val="22"/>
          <w:szCs w:val="22"/>
        </w:rPr>
      </w:pPr>
      <w:r>
        <w:rPr>
          <w:rFonts w:hint="eastAsia" w:ascii="宋体" w:hAnsi="宋体" w:cs="宋体"/>
          <w:sz w:val="22"/>
          <w:szCs w:val="22"/>
        </w:rPr>
        <w:t>（二）合同期满，乙方必须将全部业务及时移交甲方。未经甲方许可，合同期满，乙方不及时移交管理工程给甲方，每超过一天扣除履约保证金的5%。</w:t>
      </w:r>
    </w:p>
    <w:p>
      <w:pPr>
        <w:spacing w:line="360" w:lineRule="exact"/>
        <w:rPr>
          <w:rFonts w:ascii="宋体" w:hAnsi="宋体" w:cs="宋体"/>
          <w:bCs/>
          <w:sz w:val="22"/>
          <w:szCs w:val="22"/>
        </w:rPr>
      </w:pPr>
      <w:r>
        <w:rPr>
          <w:rFonts w:hint="eastAsia" w:ascii="宋体" w:hAnsi="宋体" w:cs="宋体"/>
          <w:bCs/>
          <w:sz w:val="22"/>
          <w:szCs w:val="22"/>
        </w:rPr>
        <w:t>第十四条  争议的解决</w:t>
      </w:r>
    </w:p>
    <w:p>
      <w:pPr>
        <w:spacing w:line="360" w:lineRule="exact"/>
        <w:ind w:left="439" w:leftChars="209"/>
        <w:rPr>
          <w:rFonts w:ascii="宋体" w:hAnsi="宋体" w:cs="宋体"/>
          <w:bCs/>
          <w:sz w:val="22"/>
          <w:szCs w:val="22"/>
        </w:rPr>
      </w:pPr>
      <w:r>
        <w:rPr>
          <w:rFonts w:hint="eastAsia" w:ascii="宋体" w:hAnsi="宋体" w:cs="宋体"/>
          <w:bCs/>
          <w:sz w:val="22"/>
          <w:szCs w:val="22"/>
        </w:rPr>
        <w:t>合同未尽事宜，</w:t>
      </w:r>
      <w:r>
        <w:rPr>
          <w:rFonts w:hint="eastAsia" w:ascii="宋体" w:hAnsi="宋体" w:cs="宋体"/>
          <w:sz w:val="22"/>
          <w:szCs w:val="22"/>
        </w:rPr>
        <w:t>应双方友好协调解决</w:t>
      </w:r>
      <w:r>
        <w:rPr>
          <w:rFonts w:hint="eastAsia" w:ascii="宋体" w:hAnsi="宋体" w:cs="宋体"/>
          <w:bCs/>
          <w:sz w:val="22"/>
          <w:szCs w:val="22"/>
        </w:rPr>
        <w:t>。</w:t>
      </w:r>
      <w:r>
        <w:rPr>
          <w:rFonts w:hint="eastAsia" w:ascii="宋体" w:hAnsi="宋体" w:cs="宋体"/>
          <w:sz w:val="22"/>
          <w:szCs w:val="22"/>
        </w:rPr>
        <w:t>协商不一致，任何一方均可提起仲裁或诉讼，仲裁或诉讼按合同履行地原则。</w:t>
      </w:r>
    </w:p>
    <w:p>
      <w:pPr>
        <w:spacing w:line="360" w:lineRule="exact"/>
        <w:rPr>
          <w:rFonts w:ascii="宋体" w:hAnsi="宋体" w:cs="宋体"/>
          <w:bCs/>
          <w:sz w:val="22"/>
          <w:szCs w:val="22"/>
        </w:rPr>
      </w:pPr>
      <w:r>
        <w:rPr>
          <w:rFonts w:hint="eastAsia" w:ascii="宋体" w:hAnsi="宋体" w:cs="宋体"/>
          <w:bCs/>
          <w:sz w:val="22"/>
          <w:szCs w:val="22"/>
        </w:rPr>
        <w:t>第十五条  合同生效及终止</w:t>
      </w:r>
    </w:p>
    <w:p>
      <w:pPr>
        <w:spacing w:line="360" w:lineRule="exact"/>
        <w:ind w:left="550" w:hanging="550" w:hangingChars="250"/>
        <w:rPr>
          <w:rFonts w:ascii="宋体" w:hAnsi="宋体" w:cs="宋体"/>
          <w:bCs/>
          <w:sz w:val="22"/>
          <w:szCs w:val="22"/>
        </w:rPr>
      </w:pPr>
      <w:r>
        <w:rPr>
          <w:rFonts w:hint="eastAsia" w:ascii="宋体" w:hAnsi="宋体" w:cs="宋体"/>
          <w:bCs/>
          <w:sz w:val="22"/>
          <w:szCs w:val="22"/>
        </w:rPr>
        <w:t>（一）合同生效：本合同自甲乙双方签字、盖章之日起并甲方收到乙方提交的履约保证金后生效。</w:t>
      </w:r>
    </w:p>
    <w:p>
      <w:pPr>
        <w:spacing w:line="360" w:lineRule="exact"/>
        <w:rPr>
          <w:rFonts w:ascii="宋体" w:hAnsi="宋体" w:cs="宋体"/>
          <w:bCs/>
          <w:sz w:val="22"/>
          <w:szCs w:val="22"/>
        </w:rPr>
      </w:pPr>
      <w:r>
        <w:rPr>
          <w:rFonts w:hint="eastAsia" w:ascii="宋体" w:hAnsi="宋体" w:cs="宋体"/>
          <w:bCs/>
          <w:sz w:val="22"/>
          <w:szCs w:val="22"/>
        </w:rPr>
        <w:t>（二）合同终止：本合同出现以下情况时终止。</w:t>
      </w:r>
    </w:p>
    <w:p>
      <w:pPr>
        <w:spacing w:line="360" w:lineRule="exact"/>
        <w:ind w:left="330" w:hanging="330" w:hangingChars="150"/>
        <w:rPr>
          <w:rFonts w:ascii="宋体" w:hAnsi="宋体" w:cs="宋体"/>
          <w:bCs/>
          <w:sz w:val="22"/>
          <w:szCs w:val="22"/>
        </w:rPr>
      </w:pPr>
      <w:r>
        <w:rPr>
          <w:rFonts w:hint="eastAsia" w:ascii="宋体" w:hAnsi="宋体" w:cs="宋体"/>
          <w:bCs/>
          <w:sz w:val="22"/>
          <w:szCs w:val="22"/>
        </w:rPr>
        <w:t>1、乙方未能履行合同和遵守有关规定，在甲方发出书面警告后仍无采取补救措施可立即终止承包</w:t>
      </w:r>
    </w:p>
    <w:p>
      <w:pPr>
        <w:spacing w:line="360" w:lineRule="exact"/>
        <w:rPr>
          <w:rFonts w:ascii="宋体" w:hAnsi="宋体" w:cs="宋体"/>
          <w:bCs/>
          <w:sz w:val="22"/>
          <w:szCs w:val="22"/>
        </w:rPr>
      </w:pPr>
      <w:r>
        <w:rPr>
          <w:rFonts w:hint="eastAsia" w:ascii="宋体" w:hAnsi="宋体" w:cs="宋体"/>
          <w:bCs/>
          <w:sz w:val="22"/>
          <w:szCs w:val="22"/>
        </w:rPr>
        <w:t>2、有以下行为之一的：</w:t>
      </w:r>
    </w:p>
    <w:p>
      <w:pPr>
        <w:spacing w:line="360" w:lineRule="exact"/>
        <w:rPr>
          <w:rFonts w:ascii="宋体" w:hAnsi="宋体" w:cs="宋体"/>
          <w:bCs/>
          <w:sz w:val="22"/>
          <w:szCs w:val="22"/>
        </w:rPr>
      </w:pPr>
      <w:r>
        <w:rPr>
          <w:rFonts w:hint="eastAsia" w:ascii="宋体" w:hAnsi="宋体" w:cs="宋体"/>
          <w:bCs/>
          <w:sz w:val="22"/>
          <w:szCs w:val="22"/>
        </w:rPr>
        <w:t>（1）违反管理规定，造成重大伤亡或重大损失。</w:t>
      </w:r>
    </w:p>
    <w:p>
      <w:pPr>
        <w:spacing w:line="360" w:lineRule="exact"/>
        <w:rPr>
          <w:rFonts w:ascii="宋体" w:hAnsi="宋体" w:cs="宋体"/>
          <w:bCs/>
          <w:sz w:val="22"/>
          <w:szCs w:val="22"/>
        </w:rPr>
      </w:pPr>
      <w:r>
        <w:rPr>
          <w:rFonts w:hint="eastAsia" w:ascii="宋体" w:hAnsi="宋体" w:cs="宋体"/>
          <w:bCs/>
          <w:sz w:val="22"/>
          <w:szCs w:val="22"/>
        </w:rPr>
        <w:t>（2）因管理不善造成恶劣影响。</w:t>
      </w:r>
    </w:p>
    <w:p>
      <w:pPr>
        <w:spacing w:line="360" w:lineRule="exact"/>
        <w:rPr>
          <w:rFonts w:ascii="宋体" w:hAnsi="宋体" w:cs="宋体"/>
          <w:bCs/>
          <w:sz w:val="22"/>
          <w:szCs w:val="22"/>
        </w:rPr>
      </w:pPr>
      <w:r>
        <w:rPr>
          <w:rFonts w:hint="eastAsia" w:ascii="宋体" w:hAnsi="宋体" w:cs="宋体"/>
          <w:bCs/>
          <w:sz w:val="22"/>
          <w:szCs w:val="22"/>
        </w:rPr>
        <w:t>（3）擅自将合同转包给第三者。</w:t>
      </w:r>
    </w:p>
    <w:p>
      <w:pPr>
        <w:spacing w:line="360" w:lineRule="exact"/>
        <w:rPr>
          <w:rFonts w:ascii="宋体" w:hAnsi="宋体" w:cs="宋体"/>
          <w:bCs/>
          <w:sz w:val="22"/>
          <w:szCs w:val="22"/>
        </w:rPr>
      </w:pPr>
      <w:r>
        <w:rPr>
          <w:rFonts w:hint="eastAsia" w:ascii="宋体" w:hAnsi="宋体" w:cs="宋体"/>
          <w:bCs/>
          <w:sz w:val="22"/>
          <w:szCs w:val="22"/>
        </w:rPr>
        <w:t>（4）违反劳动法或其他相关法律法规，造成恶劣影响。</w:t>
      </w:r>
    </w:p>
    <w:p>
      <w:pPr>
        <w:spacing w:line="360" w:lineRule="exact"/>
        <w:rPr>
          <w:rFonts w:ascii="宋体" w:hAnsi="宋体" w:cs="宋体"/>
          <w:bCs/>
          <w:sz w:val="22"/>
          <w:szCs w:val="22"/>
        </w:rPr>
      </w:pPr>
      <w:r>
        <w:rPr>
          <w:rFonts w:hint="eastAsia" w:ascii="宋体" w:hAnsi="宋体" w:cs="宋体"/>
          <w:bCs/>
          <w:sz w:val="22"/>
          <w:szCs w:val="22"/>
        </w:rPr>
        <w:t>（5）弄虚作假及其他不正当行为。</w:t>
      </w:r>
    </w:p>
    <w:p>
      <w:pPr>
        <w:spacing w:line="360" w:lineRule="exact"/>
        <w:rPr>
          <w:rFonts w:ascii="宋体" w:hAnsi="宋体" w:cs="宋体"/>
          <w:bCs/>
          <w:sz w:val="22"/>
          <w:szCs w:val="22"/>
        </w:rPr>
      </w:pPr>
      <w:r>
        <w:rPr>
          <w:rFonts w:hint="eastAsia" w:ascii="宋体" w:hAnsi="宋体" w:cs="宋体"/>
          <w:bCs/>
          <w:sz w:val="22"/>
          <w:szCs w:val="22"/>
        </w:rPr>
        <w:t>3、法律规定的终止事由。</w:t>
      </w:r>
    </w:p>
    <w:p>
      <w:pPr>
        <w:spacing w:line="360" w:lineRule="exact"/>
        <w:rPr>
          <w:rFonts w:ascii="宋体" w:hAnsi="宋体" w:cs="宋体"/>
          <w:bCs/>
          <w:sz w:val="22"/>
          <w:szCs w:val="22"/>
        </w:rPr>
      </w:pPr>
      <w:r>
        <w:rPr>
          <w:rFonts w:hint="eastAsia" w:ascii="宋体" w:hAnsi="宋体" w:cs="宋体"/>
          <w:bCs/>
          <w:sz w:val="22"/>
          <w:szCs w:val="22"/>
        </w:rPr>
        <w:t>第十六条  合同的解释</w:t>
      </w:r>
    </w:p>
    <w:p>
      <w:pPr>
        <w:spacing w:line="360" w:lineRule="exact"/>
        <w:ind w:firstLine="440" w:firstLineChars="200"/>
        <w:rPr>
          <w:rFonts w:ascii="宋体" w:hAnsi="宋体" w:cs="宋体"/>
          <w:bCs/>
          <w:sz w:val="22"/>
          <w:szCs w:val="22"/>
        </w:rPr>
      </w:pPr>
      <w:r>
        <w:rPr>
          <w:rFonts w:hint="eastAsia" w:ascii="宋体" w:hAnsi="宋体" w:cs="宋体"/>
          <w:bCs/>
          <w:sz w:val="22"/>
          <w:szCs w:val="22"/>
        </w:rPr>
        <w:t xml:space="preserve">本合同的解释权在平阳县海西镇人民政府。         </w:t>
      </w:r>
    </w:p>
    <w:p>
      <w:pPr>
        <w:spacing w:line="360" w:lineRule="exact"/>
        <w:rPr>
          <w:rFonts w:ascii="宋体" w:hAnsi="宋体" w:cs="宋体"/>
          <w:bCs/>
          <w:sz w:val="22"/>
          <w:szCs w:val="22"/>
        </w:rPr>
      </w:pPr>
      <w:r>
        <w:rPr>
          <w:rFonts w:hint="eastAsia" w:ascii="宋体" w:hAnsi="宋体" w:cs="宋体"/>
          <w:bCs/>
          <w:sz w:val="22"/>
          <w:szCs w:val="22"/>
        </w:rPr>
        <w:t>第十七条  合同的份数</w:t>
      </w:r>
    </w:p>
    <w:p>
      <w:pPr>
        <w:spacing w:line="360" w:lineRule="exact"/>
        <w:rPr>
          <w:rFonts w:ascii="宋体" w:hAnsi="宋体" w:cs="宋体"/>
          <w:bCs/>
          <w:sz w:val="22"/>
          <w:szCs w:val="22"/>
        </w:rPr>
      </w:pPr>
      <w:r>
        <w:rPr>
          <w:rFonts w:hint="eastAsia" w:ascii="宋体" w:hAnsi="宋体" w:cs="宋体"/>
          <w:bCs/>
          <w:sz w:val="22"/>
          <w:szCs w:val="22"/>
        </w:rPr>
        <w:t>本合同一式陆份，双方各执二份，平阳县公共资源交易中心和浙江亿邦建设咨询有限公司执一份，具有同等法律效力，自双方签字盖章后生效。</w:t>
      </w:r>
    </w:p>
    <w:p>
      <w:pPr>
        <w:spacing w:line="320" w:lineRule="exact"/>
        <w:ind w:firstLine="660" w:firstLineChars="300"/>
        <w:rPr>
          <w:rFonts w:ascii="宋体" w:hAnsi="宋体" w:cs="宋体"/>
          <w:sz w:val="22"/>
          <w:szCs w:val="22"/>
        </w:rPr>
      </w:pPr>
      <w:r>
        <w:rPr>
          <w:rFonts w:hint="eastAsia" w:ascii="宋体" w:hAnsi="宋体" w:cs="宋体"/>
          <w:sz w:val="22"/>
          <w:szCs w:val="22"/>
        </w:rPr>
        <w:t>甲    方：（</w:t>
      </w:r>
      <w:r>
        <w:rPr>
          <w:rFonts w:hint="eastAsia" w:ascii="宋体" w:hAnsi="宋体" w:cs="宋体"/>
          <w:sz w:val="22"/>
          <w:szCs w:val="22"/>
          <w:lang w:val="en-US" w:eastAsia="zh-CN"/>
        </w:rPr>
        <w:t>公</w:t>
      </w:r>
      <w:r>
        <w:rPr>
          <w:rFonts w:hint="eastAsia" w:ascii="宋体" w:hAnsi="宋体" w:cs="宋体"/>
          <w:sz w:val="22"/>
          <w:szCs w:val="22"/>
        </w:rPr>
        <w:t>章）                    乙    方：（</w:t>
      </w:r>
      <w:r>
        <w:rPr>
          <w:rFonts w:hint="eastAsia" w:ascii="宋体" w:hAnsi="宋体" w:cs="宋体"/>
          <w:sz w:val="22"/>
          <w:szCs w:val="22"/>
          <w:lang w:val="en-US" w:eastAsia="zh-CN"/>
        </w:rPr>
        <w:t>公</w:t>
      </w:r>
      <w:r>
        <w:rPr>
          <w:rFonts w:hint="eastAsia" w:ascii="宋体" w:hAnsi="宋体" w:cs="宋体"/>
          <w:sz w:val="22"/>
          <w:szCs w:val="22"/>
        </w:rPr>
        <w:t>章）</w:t>
      </w:r>
    </w:p>
    <w:p>
      <w:pPr>
        <w:spacing w:line="320" w:lineRule="exact"/>
        <w:rPr>
          <w:rFonts w:ascii="宋体" w:hAnsi="宋体" w:cs="宋体"/>
          <w:sz w:val="22"/>
          <w:szCs w:val="22"/>
        </w:rPr>
      </w:pPr>
      <w:r>
        <w:rPr>
          <w:rFonts w:hint="eastAsia" w:ascii="宋体" w:hAnsi="宋体" w:cs="宋体"/>
          <w:sz w:val="22"/>
          <w:szCs w:val="22"/>
        </w:rPr>
        <w:t xml:space="preserve">      全权代表：（签字）                    全权代表：（签字）</w:t>
      </w:r>
    </w:p>
    <w:p>
      <w:pPr>
        <w:spacing w:line="320" w:lineRule="exact"/>
        <w:ind w:firstLine="660" w:firstLineChars="300"/>
        <w:rPr>
          <w:rFonts w:ascii="宋体" w:hAnsi="宋体" w:cs="宋体"/>
          <w:sz w:val="22"/>
          <w:szCs w:val="22"/>
        </w:rPr>
      </w:pPr>
      <w:r>
        <w:rPr>
          <w:rFonts w:hint="eastAsia" w:ascii="宋体" w:hAnsi="宋体" w:cs="宋体"/>
          <w:sz w:val="22"/>
          <w:szCs w:val="22"/>
        </w:rPr>
        <w:t>地    址：                           地    址：</w:t>
      </w:r>
    </w:p>
    <w:p>
      <w:pPr>
        <w:spacing w:line="320" w:lineRule="exact"/>
        <w:ind w:firstLine="660" w:firstLineChars="300"/>
        <w:rPr>
          <w:rFonts w:ascii="宋体" w:hAnsi="宋体" w:cs="宋体"/>
          <w:sz w:val="22"/>
          <w:szCs w:val="22"/>
        </w:rPr>
      </w:pPr>
      <w:r>
        <w:rPr>
          <w:rFonts w:hint="eastAsia" w:ascii="宋体" w:hAnsi="宋体" w:cs="宋体"/>
          <w:sz w:val="22"/>
          <w:szCs w:val="22"/>
        </w:rPr>
        <w:t>电    话：                           电    话：</w:t>
      </w:r>
    </w:p>
    <w:p>
      <w:pPr>
        <w:spacing w:line="320" w:lineRule="exact"/>
        <w:ind w:firstLine="660" w:firstLineChars="300"/>
        <w:rPr>
          <w:rFonts w:ascii="宋体" w:hAnsi="宋体" w:cs="宋体"/>
          <w:sz w:val="22"/>
          <w:szCs w:val="22"/>
        </w:rPr>
      </w:pPr>
      <w:r>
        <w:rPr>
          <w:rFonts w:hint="eastAsia" w:ascii="宋体" w:hAnsi="宋体" w:cs="宋体"/>
          <w:sz w:val="22"/>
          <w:szCs w:val="22"/>
        </w:rPr>
        <w:t>传    真：                           传    真：</w:t>
      </w:r>
    </w:p>
    <w:p>
      <w:pPr>
        <w:spacing w:line="320" w:lineRule="exact"/>
        <w:ind w:firstLine="660" w:firstLineChars="300"/>
        <w:rPr>
          <w:rFonts w:ascii="宋体" w:hAnsi="宋体" w:cs="宋体"/>
          <w:sz w:val="22"/>
          <w:szCs w:val="22"/>
        </w:rPr>
      </w:pPr>
      <w:r>
        <w:rPr>
          <w:rFonts w:hint="eastAsia" w:ascii="宋体" w:hAnsi="宋体" w:cs="宋体"/>
          <w:sz w:val="22"/>
          <w:szCs w:val="22"/>
        </w:rPr>
        <w:t>开户银行：                           开户银行：</w:t>
      </w:r>
    </w:p>
    <w:p>
      <w:pPr>
        <w:spacing w:line="320" w:lineRule="exact"/>
        <w:ind w:firstLine="660" w:firstLineChars="300"/>
        <w:rPr>
          <w:b/>
          <w:sz w:val="36"/>
          <w:szCs w:val="36"/>
          <w:lang w:val="zh-CN"/>
        </w:rPr>
      </w:pPr>
      <w:r>
        <w:rPr>
          <w:rFonts w:hint="eastAsia" w:ascii="宋体" w:hAnsi="宋体" w:cs="宋体"/>
          <w:sz w:val="22"/>
          <w:szCs w:val="22"/>
        </w:rPr>
        <w:t>帐    号：                           帐    号：</w:t>
      </w:r>
    </w:p>
    <w:p>
      <w:pPr>
        <w:pStyle w:val="9"/>
        <w:ind w:firstLine="360"/>
        <w:rPr>
          <w:rFonts w:ascii="宋体" w:hAnsi="宋体"/>
          <w:sz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7"/>
        <w:rPr>
          <w:rFonts w:hAnsi="宋体" w:cs="宋体"/>
          <w:sz w:val="36"/>
          <w:szCs w:val="36"/>
        </w:rPr>
      </w:pPr>
    </w:p>
    <w:p>
      <w:pPr>
        <w:rPr>
          <w:rFonts w:hAnsi="宋体" w:cs="宋体"/>
          <w:sz w:val="36"/>
          <w:szCs w:val="36"/>
        </w:rPr>
      </w:pPr>
    </w:p>
    <w:p>
      <w:pPr>
        <w:pStyle w:val="9"/>
        <w:ind w:firstLine="360"/>
        <w:rPr>
          <w:rFonts w:hAnsi="宋体" w:cs="宋体"/>
          <w:sz w:val="36"/>
          <w:szCs w:val="36"/>
        </w:rPr>
      </w:pPr>
    </w:p>
    <w:p>
      <w:pPr>
        <w:pStyle w:val="11"/>
        <w:rPr>
          <w:rFonts w:hAnsi="宋体" w:cs="宋体"/>
          <w:sz w:val="36"/>
          <w:szCs w:val="36"/>
        </w:rPr>
      </w:pPr>
    </w:p>
    <w:p>
      <w:pPr>
        <w:rPr>
          <w:rFonts w:hAnsi="宋体" w:cs="宋体"/>
          <w:sz w:val="36"/>
          <w:szCs w:val="36"/>
        </w:rPr>
      </w:pPr>
    </w:p>
    <w:p>
      <w:pPr>
        <w:pStyle w:val="9"/>
        <w:ind w:firstLine="360"/>
        <w:rPr>
          <w:rFonts w:hAnsi="宋体" w:cs="宋体"/>
          <w:sz w:val="36"/>
          <w:szCs w:val="36"/>
        </w:rPr>
      </w:pPr>
    </w:p>
    <w:p>
      <w:pPr>
        <w:pStyle w:val="11"/>
      </w:pPr>
    </w:p>
    <w:p/>
    <w:p>
      <w:pPr>
        <w:pStyle w:val="9"/>
        <w:ind w:firstLine="210"/>
      </w:pPr>
    </w:p>
    <w:p>
      <w:pPr>
        <w:pStyle w:val="11"/>
      </w:pPr>
    </w:p>
    <w:p/>
    <w:p>
      <w:pPr>
        <w:pStyle w:val="9"/>
        <w:ind w:firstLine="210"/>
      </w:pPr>
    </w:p>
    <w:p>
      <w:pPr>
        <w:pStyle w:val="11"/>
      </w:pPr>
    </w:p>
    <w:p/>
    <w:p>
      <w:pPr>
        <w:pStyle w:val="9"/>
        <w:ind w:firstLine="210"/>
      </w:pPr>
    </w:p>
    <w:p>
      <w:pPr>
        <w:pStyle w:val="11"/>
      </w:pPr>
    </w:p>
    <w:p/>
    <w:p>
      <w:pPr>
        <w:pStyle w:val="9"/>
        <w:ind w:firstLine="210"/>
      </w:pPr>
    </w:p>
    <w:p>
      <w:pPr>
        <w:pStyle w:val="11"/>
      </w:pPr>
    </w:p>
    <w:p/>
    <w:p>
      <w:pPr>
        <w:pStyle w:val="9"/>
        <w:ind w:firstLine="210"/>
      </w:pPr>
    </w:p>
    <w:p>
      <w:pPr>
        <w:pStyle w:val="11"/>
      </w:pPr>
    </w:p>
    <w:p/>
    <w:p>
      <w:pPr>
        <w:pStyle w:val="9"/>
        <w:ind w:firstLine="210"/>
      </w:pPr>
    </w:p>
    <w:p>
      <w:pPr>
        <w:pStyle w:val="11"/>
      </w:pPr>
    </w:p>
    <w:p/>
    <w:p>
      <w:pPr>
        <w:pStyle w:val="16"/>
        <w:adjustRightInd w:val="0"/>
        <w:snapToGrid w:val="0"/>
        <w:spacing w:line="400" w:lineRule="exact"/>
        <w:rPr>
          <w:rFonts w:hAnsi="宋体" w:cs="宋体"/>
          <w:sz w:val="36"/>
          <w:szCs w:val="36"/>
        </w:rPr>
      </w:pPr>
    </w:p>
    <w:p>
      <w:pPr>
        <w:pStyle w:val="16"/>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6"/>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bookmarkStart w:id="13" w:name="_Toc30408914"/>
      <w:bookmarkStart w:id="14" w:name="_Toc24550049"/>
    </w:p>
    <w:p>
      <w:pPr>
        <w:pStyle w:val="2"/>
        <w:rPr>
          <w:rFonts w:hint="eastAsia" w:ascii="仿宋" w:hAnsi="仿宋" w:eastAsia="仿宋"/>
          <w:b/>
          <w:sz w:val="28"/>
          <w:szCs w:val="28"/>
          <w:u w:val="single"/>
        </w:rPr>
      </w:pPr>
    </w:p>
    <w:p>
      <w:pPr>
        <w:rPr>
          <w:rFonts w:hint="eastAsia" w:ascii="仿宋" w:hAnsi="仿宋" w:eastAsia="仿宋"/>
          <w:b/>
          <w:sz w:val="28"/>
          <w:szCs w:val="28"/>
          <w:u w:val="single"/>
        </w:rPr>
      </w:pPr>
    </w:p>
    <w:p>
      <w:pPr>
        <w:pStyle w:val="2"/>
        <w:rPr>
          <w:rFonts w:hint="eastAsia" w:ascii="仿宋" w:hAnsi="仿宋" w:eastAsia="仿宋"/>
          <w:b/>
          <w:sz w:val="28"/>
          <w:szCs w:val="28"/>
          <w:u w:val="single"/>
        </w:rPr>
      </w:pPr>
    </w:p>
    <w:p/>
    <w:p>
      <w:pPr>
        <w:pStyle w:val="2"/>
      </w:pPr>
    </w:p>
    <w:p>
      <w:pPr>
        <w:pStyle w:val="4"/>
      </w:pPr>
      <w:r>
        <w:rPr>
          <w:rFonts w:hint="eastAsia"/>
        </w:rPr>
        <w:t>一、“资格文件</w:t>
      </w:r>
      <w:r>
        <w:t>”</w:t>
      </w:r>
      <w:r>
        <w:rPr>
          <w:rFonts w:hint="eastAsia"/>
        </w:rPr>
        <w:t>格式</w:t>
      </w:r>
      <w:bookmarkEnd w:id="13"/>
      <w:bookmarkEnd w:id="14"/>
    </w:p>
    <w:p>
      <w:pPr>
        <w:pStyle w:val="5"/>
      </w:pPr>
      <w:r>
        <w:rPr>
          <w:rFonts w:hint="eastAsia"/>
        </w:rPr>
        <w:t>1.1 “资格文件”封面</w:t>
      </w:r>
    </w:p>
    <w:p>
      <w:pPr>
        <w:spacing w:line="360" w:lineRule="auto"/>
        <w:jc w:val="right"/>
        <w:rPr>
          <w:rFonts w:ascii="Arial" w:hAnsi="Arial" w:eastAsia="新宋体" w:cs="Arial"/>
          <w:b/>
          <w:sz w:val="32"/>
          <w:szCs w:val="22"/>
        </w:rPr>
      </w:pPr>
    </w:p>
    <w:p>
      <w:pPr>
        <w:pStyle w:val="43"/>
        <w:rPr>
          <w:rFonts w:hint="eastAsia" w:eastAsia="华文中宋"/>
          <w:lang w:eastAsia="zh-CN"/>
        </w:rPr>
      </w:pPr>
      <w:r>
        <w:rPr>
          <w:rFonts w:hint="eastAsia" w:ascii="华文中宋" w:hAnsi="华文中宋" w:eastAsia="华文中宋" w:cs="Arial"/>
          <w:sz w:val="52"/>
          <w:szCs w:val="18"/>
        </w:rPr>
        <w:t>平阳县宋埠站位水质提升与水质稳定</w:t>
      </w:r>
      <w:r>
        <w:rPr>
          <w:rFonts w:hint="eastAsia" w:ascii="华文中宋" w:hAnsi="华文中宋" w:eastAsia="华文中宋" w:cs="Arial"/>
          <w:sz w:val="52"/>
          <w:szCs w:val="18"/>
          <w:lang w:eastAsia="zh-CN"/>
        </w:rPr>
        <w:t>项目采购</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41"/>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5"/>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rPr>
        <w:t>平阳县海西镇人民政府</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rPr>
        <w:t>平阳县宋埠站位水质提升与水质稳定</w:t>
      </w:r>
      <w:r>
        <w:rPr>
          <w:rFonts w:hint="eastAsia" w:ascii="仿宋" w:hAnsi="仿宋" w:eastAsia="仿宋" w:cs="Arial"/>
          <w:b/>
          <w:sz w:val="28"/>
          <w:szCs w:val="22"/>
          <w:u w:val="single"/>
          <w:lang w:eastAsia="zh-CN"/>
        </w:rPr>
        <w:t>项目采购</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5"/>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41"/>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5"/>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41"/>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5"/>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平阳县海西镇人民政府：</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rPr>
        <w:t>平阳县宋埠站位水质提升与水质稳定</w:t>
      </w:r>
      <w:r>
        <w:rPr>
          <w:rFonts w:hint="eastAsia" w:ascii="仿宋" w:hAnsi="仿宋" w:eastAsia="仿宋" w:cs="Arial"/>
          <w:b/>
          <w:sz w:val="28"/>
          <w:szCs w:val="28"/>
          <w:u w:val="single"/>
          <w:lang w:eastAsia="zh-CN"/>
        </w:rPr>
        <w:t>项目采购</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5"/>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3"/>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5"/>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rPr>
        <w:t>平阳县海西镇人民政府：</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rPr>
        <w:t>平阳县宋埠站位水质提升与水质稳定</w:t>
      </w:r>
      <w:r>
        <w:rPr>
          <w:rFonts w:hint="eastAsia" w:ascii="仿宋" w:hAnsi="仿宋" w:eastAsia="仿宋" w:cs="Arial"/>
          <w:b/>
          <w:sz w:val="28"/>
          <w:szCs w:val="28"/>
          <w:u w:val="single"/>
          <w:lang w:eastAsia="zh-CN"/>
        </w:rPr>
        <w:t>项目采购</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平阳县海西镇人民政府：</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rPr>
        <w:t>平阳县宋埠站位水质提升与水质稳定</w:t>
      </w:r>
      <w:r>
        <w:rPr>
          <w:rFonts w:hint="eastAsia" w:ascii="仿宋" w:hAnsi="仿宋" w:eastAsia="仿宋" w:cs="Arial"/>
          <w:b/>
          <w:sz w:val="28"/>
          <w:szCs w:val="28"/>
          <w:u w:val="single"/>
          <w:lang w:eastAsia="zh-CN"/>
        </w:rPr>
        <w:t>项目采购</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5"/>
      </w:pPr>
    </w:p>
    <w:p/>
    <w:p>
      <w:pPr>
        <w:pStyle w:val="5"/>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平阳县海西镇人民政府：</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jc w:val="both"/>
        <w:rPr>
          <w:rFonts w:hint="eastAsia"/>
        </w:rPr>
      </w:pPr>
      <w:r>
        <w:rPr>
          <w:rFonts w:ascii="Times New Roman" w:hAnsi="Times New Roman"/>
        </w:rPr>
        <w:br w:type="page"/>
      </w:r>
      <w:r>
        <w:rPr>
          <w:rFonts w:hint="eastAsia" w:ascii="Calibri" w:hAnsi="Calibri" w:eastAsia="宋体" w:cs="Times New Roman"/>
          <w:b/>
          <w:bCs/>
          <w:kern w:val="2"/>
          <w:sz w:val="32"/>
          <w:szCs w:val="32"/>
          <w:lang w:val="en-US" w:eastAsia="zh-CN" w:bidi="ar-SA"/>
        </w:rPr>
        <w:t xml:space="preserve"> 1.10投标供应商具有环保工程专业承包三级及以上资质的证明资料</w:t>
      </w:r>
    </w:p>
    <w:p>
      <w:pPr>
        <w:shd w:val="clear" w:color="auto" w:fill="FFFFFF"/>
        <w:snapToGrid w:val="0"/>
        <w:spacing w:line="360" w:lineRule="auto"/>
        <w:jc w:val="center"/>
      </w:pPr>
    </w:p>
    <w:p>
      <w:pPr>
        <w:shd w:val="clear" w:color="auto" w:fill="FFFFFF"/>
        <w:snapToGrid w:val="0"/>
        <w:spacing w:line="360" w:lineRule="auto"/>
        <w:jc w:val="center"/>
      </w:pPr>
    </w:p>
    <w:tbl>
      <w:tblPr>
        <w:tblStyle w:val="41"/>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9207" w:hRule="atLeast"/>
        </w:trPr>
        <w:tc>
          <w:tcPr>
            <w:tcW w:w="9145" w:type="dxa"/>
            <w:vAlign w:val="center"/>
          </w:tcPr>
          <w:p>
            <w:pPr>
              <w:spacing w:line="360" w:lineRule="auto"/>
              <w:jc w:val="center"/>
              <w:rPr>
                <w:rFonts w:hint="default" w:ascii="仿宋" w:hAnsi="仿宋" w:eastAsia="仿宋" w:cs="Arial"/>
                <w:b/>
                <w:i/>
                <w:szCs w:val="21"/>
                <w:lang w:val="en-US" w:eastAsia="zh-CN"/>
              </w:rPr>
            </w:pPr>
            <w:r>
              <w:rPr>
                <w:rFonts w:hint="eastAsia" w:ascii="仿宋" w:hAnsi="仿宋" w:eastAsia="仿宋" w:cs="Arial"/>
                <w:b/>
                <w:i/>
                <w:szCs w:val="21"/>
                <w:lang w:val="en-US" w:eastAsia="zh-CN"/>
              </w:rPr>
              <w:t>提供资质证书复印件并加盖公章</w:t>
            </w:r>
          </w:p>
        </w:tc>
      </w:tr>
    </w:tbl>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4"/>
      </w:pPr>
      <w:r>
        <w:rPr>
          <w:rFonts w:hint="eastAsia"/>
        </w:rPr>
        <w:t>二、“报价文件</w:t>
      </w:r>
      <w:r>
        <w:t>”</w:t>
      </w:r>
      <w:r>
        <w:rPr>
          <w:rFonts w:hint="eastAsia"/>
        </w:rPr>
        <w:t>格式</w:t>
      </w:r>
    </w:p>
    <w:p>
      <w:pPr>
        <w:pStyle w:val="6"/>
        <w:rPr>
          <w:rFonts w:ascii="Arial" w:hAnsi="Arial" w:eastAsia="新宋体" w:cs="Arial"/>
          <w:sz w:val="32"/>
          <w:szCs w:val="22"/>
        </w:rPr>
      </w:pPr>
      <w:r>
        <w:rPr>
          <w:rFonts w:hint="eastAsia"/>
        </w:rPr>
        <w:t>2.1 “报价文件”封面</w:t>
      </w: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rPr>
        <w:t>平阳县宋埠站位水质提升与水质稳定</w:t>
      </w:r>
      <w:r>
        <w:rPr>
          <w:rFonts w:hint="eastAsia" w:ascii="华文中宋" w:hAnsi="华文中宋" w:eastAsia="华文中宋" w:cs="Arial"/>
          <w:sz w:val="52"/>
          <w:szCs w:val="18"/>
          <w:lang w:eastAsia="zh-CN"/>
        </w:rPr>
        <w:t>项目采购</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41"/>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Layout w:type="fixed"/>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Layout w:type="fixed"/>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titlePg/>
          <w:docGrid w:linePitch="286" w:charSpace="-3831"/>
        </w:sectPr>
      </w:pPr>
    </w:p>
    <w:p>
      <w:pPr>
        <w:pStyle w:val="16"/>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6"/>
        <w:adjustRightInd w:val="0"/>
        <w:snapToGrid w:val="0"/>
        <w:spacing w:line="400" w:lineRule="exact"/>
        <w:jc w:val="center"/>
        <w:rPr>
          <w:rFonts w:hAnsi="宋体"/>
          <w:color w:val="000000"/>
          <w:sz w:val="36"/>
          <w:szCs w:val="36"/>
        </w:rPr>
      </w:pPr>
      <w:r>
        <w:rPr>
          <w:rFonts w:hint="eastAsia" w:hAnsi="宋体"/>
          <w:color w:val="000000"/>
          <w:sz w:val="36"/>
          <w:szCs w:val="36"/>
        </w:rPr>
        <w:t>开标一览表</w:t>
      </w:r>
    </w:p>
    <w:p>
      <w:pPr>
        <w:pStyle w:val="16"/>
        <w:adjustRightInd w:val="0"/>
        <w:snapToGrid w:val="0"/>
        <w:spacing w:line="400" w:lineRule="exact"/>
        <w:rPr>
          <w:rFonts w:hAnsi="宋体"/>
          <w:color w:val="000000"/>
          <w:sz w:val="36"/>
          <w:szCs w:val="36"/>
        </w:rPr>
      </w:pPr>
    </w:p>
    <w:p>
      <w:pPr>
        <w:pStyle w:val="16"/>
        <w:adjustRightInd w:val="0"/>
        <w:snapToGrid w:val="0"/>
        <w:spacing w:line="400" w:lineRule="exact"/>
        <w:rPr>
          <w:rFonts w:hAnsi="宋体"/>
          <w:color w:val="000000"/>
          <w:sz w:val="36"/>
          <w:szCs w:val="36"/>
        </w:rPr>
      </w:pPr>
    </w:p>
    <w:p>
      <w:pPr>
        <w:pStyle w:val="16"/>
        <w:adjustRightInd w:val="0"/>
        <w:snapToGrid w:val="0"/>
        <w:spacing w:line="400" w:lineRule="exact"/>
        <w:rPr>
          <w:rFonts w:hAnsi="宋体"/>
          <w:color w:val="000000"/>
          <w:sz w:val="22"/>
          <w:szCs w:val="22"/>
        </w:rPr>
      </w:pPr>
      <w:r>
        <w:rPr>
          <w:rFonts w:hint="eastAsia" w:hAnsi="宋体"/>
          <w:color w:val="000000"/>
          <w:sz w:val="22"/>
          <w:szCs w:val="22"/>
        </w:rPr>
        <w:t>供应商名称：</w:t>
      </w:r>
      <w:r>
        <w:rPr>
          <w:rFonts w:hAnsi="宋体"/>
          <w:color w:val="000000"/>
          <w:sz w:val="22"/>
          <w:szCs w:val="22"/>
        </w:rPr>
        <w:t xml:space="preserve">                  </w:t>
      </w:r>
      <w:r>
        <w:rPr>
          <w:rFonts w:hint="eastAsia" w:hAnsi="宋体"/>
          <w:color w:val="000000"/>
          <w:sz w:val="22"/>
          <w:szCs w:val="22"/>
        </w:rPr>
        <w:t>招标编号：</w:t>
      </w:r>
      <w:r>
        <w:rPr>
          <w:rFonts w:hAnsi="宋体"/>
          <w:color w:val="000000"/>
          <w:sz w:val="22"/>
          <w:szCs w:val="22"/>
        </w:rPr>
        <w:t xml:space="preserve">          </w:t>
      </w:r>
    </w:p>
    <w:tbl>
      <w:tblPr>
        <w:tblStyle w:val="41"/>
        <w:tblpPr w:leftFromText="180" w:rightFromText="180" w:vertAnchor="page" w:horzAnchor="margin" w:tblpY="3781"/>
        <w:tblW w:w="9503" w:type="dxa"/>
        <w:tblInd w:w="0" w:type="dxa"/>
        <w:tblLayout w:type="fixed"/>
        <w:tblCellMar>
          <w:top w:w="0" w:type="dxa"/>
          <w:left w:w="108" w:type="dxa"/>
          <w:bottom w:w="0" w:type="dxa"/>
          <w:right w:w="108" w:type="dxa"/>
        </w:tblCellMar>
      </w:tblPr>
      <w:tblGrid>
        <w:gridCol w:w="4077"/>
        <w:gridCol w:w="3435"/>
        <w:gridCol w:w="1991"/>
      </w:tblGrid>
      <w:tr>
        <w:tblPrEx>
          <w:tblLayout w:type="fixed"/>
          <w:tblCellMar>
            <w:top w:w="0" w:type="dxa"/>
            <w:left w:w="108" w:type="dxa"/>
            <w:bottom w:w="0" w:type="dxa"/>
            <w:right w:w="108" w:type="dxa"/>
          </w:tblCellMar>
        </w:tblPrEx>
        <w:trPr>
          <w:trHeight w:val="111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项目名称</w:t>
            </w:r>
          </w:p>
        </w:tc>
        <w:tc>
          <w:tcPr>
            <w:tcW w:w="3435" w:type="dxa"/>
            <w:tcBorders>
              <w:top w:val="single" w:color="auto" w:sz="4" w:space="0"/>
              <w:left w:val="single" w:color="auto" w:sz="4" w:space="0"/>
              <w:bottom w:val="single" w:color="auto" w:sz="4" w:space="0"/>
              <w:right w:val="single" w:color="auto" w:sz="4" w:space="0"/>
            </w:tcBorders>
            <w:vAlign w:val="center"/>
          </w:tcPr>
          <w:p>
            <w:pPr>
              <w:jc w:val="center"/>
              <w:rPr>
                <w:color w:val="000000"/>
                <w:sz w:val="22"/>
                <w:szCs w:val="22"/>
              </w:rPr>
            </w:pPr>
            <w:r>
              <w:rPr>
                <w:rFonts w:hint="eastAsia"/>
                <w:b/>
                <w:color w:val="000000"/>
                <w:sz w:val="22"/>
                <w:szCs w:val="22"/>
              </w:rPr>
              <w:t>投标报价（元）</w:t>
            </w:r>
          </w:p>
        </w:tc>
        <w:tc>
          <w:tcPr>
            <w:tcW w:w="1991" w:type="dxa"/>
            <w:tcBorders>
              <w:top w:val="single" w:color="auto" w:sz="4" w:space="0"/>
              <w:left w:val="single" w:color="auto" w:sz="4" w:space="0"/>
              <w:bottom w:val="single" w:color="auto" w:sz="4" w:space="0"/>
              <w:right w:val="single" w:color="auto" w:sz="8" w:space="0"/>
            </w:tcBorders>
            <w:vAlign w:val="center"/>
          </w:tcPr>
          <w:p>
            <w:pPr>
              <w:jc w:val="center"/>
              <w:rPr>
                <w:color w:val="000000"/>
                <w:sz w:val="22"/>
                <w:szCs w:val="22"/>
              </w:rPr>
            </w:pPr>
            <w:r>
              <w:rPr>
                <w:rFonts w:hint="eastAsia"/>
                <w:color w:val="000000"/>
                <w:sz w:val="22"/>
                <w:szCs w:val="22"/>
              </w:rPr>
              <w:t>备注</w:t>
            </w:r>
          </w:p>
        </w:tc>
      </w:tr>
      <w:tr>
        <w:tblPrEx>
          <w:tblLayout w:type="fixed"/>
          <w:tblCellMar>
            <w:top w:w="0" w:type="dxa"/>
            <w:left w:w="108" w:type="dxa"/>
            <w:bottom w:w="0" w:type="dxa"/>
            <w:right w:w="108" w:type="dxa"/>
          </w:tblCellMar>
        </w:tblPrEx>
        <w:trPr>
          <w:cantSplit/>
          <w:trHeight w:val="186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olor w:val="000000"/>
                <w:sz w:val="22"/>
                <w:szCs w:val="22"/>
                <w:lang w:eastAsia="zh-CN"/>
              </w:rPr>
            </w:pPr>
            <w:r>
              <w:rPr>
                <w:rFonts w:hint="eastAsia"/>
                <w:color w:val="000000"/>
                <w:sz w:val="22"/>
                <w:szCs w:val="22"/>
              </w:rPr>
              <w:t>平阳县宋埠站位水质提升与水质稳定</w:t>
            </w:r>
            <w:r>
              <w:rPr>
                <w:rFonts w:hint="eastAsia"/>
                <w:color w:val="000000"/>
                <w:sz w:val="22"/>
                <w:szCs w:val="22"/>
                <w:lang w:eastAsia="zh-CN"/>
              </w:rPr>
              <w:t>项目采购</w:t>
            </w:r>
          </w:p>
        </w:tc>
        <w:tc>
          <w:tcPr>
            <w:tcW w:w="3435"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大写：</w:t>
            </w:r>
          </w:p>
          <w:p>
            <w:pPr>
              <w:jc w:val="center"/>
              <w:rPr>
                <w:color w:val="000000"/>
                <w:sz w:val="22"/>
                <w:szCs w:val="22"/>
                <w:u w:val="single"/>
              </w:rPr>
            </w:pPr>
            <w:r>
              <w:rPr>
                <w:rFonts w:hint="eastAsia"/>
                <w:b/>
                <w:color w:val="000000"/>
                <w:sz w:val="22"/>
                <w:szCs w:val="22"/>
              </w:rPr>
              <w:t>小写：</w:t>
            </w:r>
          </w:p>
        </w:tc>
        <w:tc>
          <w:tcPr>
            <w:tcW w:w="1991" w:type="dxa"/>
            <w:tcBorders>
              <w:top w:val="single" w:color="auto" w:sz="4" w:space="0"/>
              <w:left w:val="single" w:color="auto" w:sz="4" w:space="0"/>
              <w:bottom w:val="single" w:color="auto" w:sz="4" w:space="0"/>
              <w:right w:val="single" w:color="auto" w:sz="8" w:space="0"/>
            </w:tcBorders>
            <w:vAlign w:val="center"/>
          </w:tcPr>
          <w:p>
            <w:pPr>
              <w:jc w:val="center"/>
              <w:rPr>
                <w:color w:val="000000"/>
                <w:sz w:val="22"/>
                <w:szCs w:val="22"/>
              </w:rPr>
            </w:pPr>
            <w:r>
              <w:rPr>
                <w:rFonts w:hint="eastAsia"/>
                <w:color w:val="000000"/>
                <w:sz w:val="22"/>
                <w:szCs w:val="22"/>
              </w:rPr>
              <w:t xml:space="preserve"> </w:t>
            </w:r>
          </w:p>
        </w:tc>
      </w:tr>
    </w:tbl>
    <w:p>
      <w:pPr>
        <w:pStyle w:val="16"/>
        <w:adjustRightInd w:val="0"/>
        <w:snapToGrid w:val="0"/>
        <w:spacing w:line="400" w:lineRule="exact"/>
        <w:rPr>
          <w:rFonts w:hAnsi="宋体"/>
          <w:color w:val="000000"/>
          <w:sz w:val="22"/>
          <w:szCs w:val="22"/>
        </w:rPr>
      </w:pPr>
      <w:r>
        <w:rPr>
          <w:rFonts w:hint="eastAsia" w:hAnsi="宋体"/>
          <w:color w:val="000000"/>
          <w:sz w:val="22"/>
          <w:szCs w:val="22"/>
        </w:rPr>
        <w:t>▲开标一览表中投标价为符合招标文件要求的项目报价（含税、运保、随机工具、随机附件等费用），同时包括整个项目实施过程中所有费用，招标代理费及其它需要的费用。</w:t>
      </w:r>
    </w:p>
    <w:p>
      <w:pPr>
        <w:autoSpaceDE w:val="0"/>
        <w:autoSpaceDN w:val="0"/>
        <w:adjustRightInd w:val="0"/>
        <w:spacing w:line="440" w:lineRule="atLeast"/>
        <w:rPr>
          <w:rFonts w:cs="仿宋_GB2312"/>
          <w:color w:val="000000"/>
          <w:sz w:val="22"/>
          <w:szCs w:val="22"/>
          <w:lang w:val="zh-CN"/>
        </w:rPr>
      </w:pPr>
      <w:r>
        <w:rPr>
          <w:rFonts w:hint="eastAsia"/>
          <w:color w:val="000000"/>
          <w:sz w:val="22"/>
          <w:szCs w:val="22"/>
        </w:rPr>
        <w:t>▲不提供此表格的将视为没有实质性响应招标文件。</w:t>
      </w:r>
    </w:p>
    <w:p>
      <w:pPr>
        <w:autoSpaceDE w:val="0"/>
        <w:autoSpaceDN w:val="0"/>
        <w:adjustRightInd w:val="0"/>
        <w:spacing w:line="440" w:lineRule="atLeast"/>
        <w:rPr>
          <w:rFonts w:cs="仿宋_GB2312"/>
          <w:color w:val="000000"/>
          <w:sz w:val="22"/>
          <w:szCs w:val="22"/>
          <w:lang w:val="zh-CN"/>
        </w:rPr>
      </w:pP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供应商全称（盖章）：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法定代表人或授权代表（签字或签章）：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日期：</w:t>
      </w: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sectPr>
          <w:pgSz w:w="11906" w:h="16838"/>
          <w:pgMar w:top="1440" w:right="1080" w:bottom="1440" w:left="1080" w:header="851" w:footer="992" w:gutter="0"/>
          <w:cols w:space="720" w:num="1"/>
          <w:docGrid w:linePitch="312" w:charSpace="0"/>
        </w:sectPr>
      </w:pPr>
    </w:p>
    <w:p>
      <w:pPr>
        <w:pStyle w:val="16"/>
        <w:adjustRightInd w:val="0"/>
        <w:snapToGrid w:val="0"/>
        <w:spacing w:line="460" w:lineRule="atLeast"/>
        <w:rPr>
          <w:rFonts w:hAnsi="宋体"/>
          <w:sz w:val="36"/>
          <w:szCs w:val="36"/>
        </w:rPr>
      </w:pPr>
      <w:r>
        <w:rPr>
          <w:rFonts w:hint="eastAsia" w:hAnsi="宋体"/>
          <w:sz w:val="36"/>
          <w:szCs w:val="36"/>
        </w:rPr>
        <w:t>2.3报价分析明细表</w:t>
      </w:r>
    </w:p>
    <w:p>
      <w:pPr>
        <w:pStyle w:val="16"/>
        <w:spacing w:line="460" w:lineRule="atLeast"/>
        <w:jc w:val="center"/>
        <w:rPr>
          <w:rFonts w:cs="仿宋_GB2312"/>
          <w:b/>
          <w:bCs/>
          <w:sz w:val="36"/>
          <w:szCs w:val="36"/>
          <w:lang w:val="zh-CN"/>
        </w:rPr>
      </w:pPr>
      <w:r>
        <w:rPr>
          <w:rFonts w:hint="eastAsia" w:cs="仿宋_GB2312"/>
          <w:b/>
          <w:bCs/>
          <w:sz w:val="36"/>
          <w:szCs w:val="36"/>
          <w:lang w:val="zh-CN"/>
        </w:rPr>
        <w:t>报价</w:t>
      </w:r>
      <w:r>
        <w:rPr>
          <w:rFonts w:hint="eastAsia" w:cs="仿宋_GB2312"/>
          <w:b/>
          <w:bCs/>
          <w:sz w:val="36"/>
          <w:szCs w:val="36"/>
        </w:rPr>
        <w:t>分项</w:t>
      </w:r>
      <w:r>
        <w:rPr>
          <w:rFonts w:hint="eastAsia" w:cs="仿宋_GB2312"/>
          <w:b/>
          <w:bCs/>
          <w:sz w:val="36"/>
          <w:szCs w:val="36"/>
          <w:lang w:val="zh-CN"/>
        </w:rPr>
        <w:t>明细表</w:t>
      </w:r>
    </w:p>
    <w:p>
      <w:pPr>
        <w:spacing w:line="380" w:lineRule="exact"/>
        <w:rPr>
          <w:rFonts w:ascii="等线" w:hAnsi="等线" w:eastAsia="等线" w:cs="等线"/>
          <w:b/>
          <w:bCs/>
          <w:sz w:val="22"/>
          <w:szCs w:val="22"/>
        </w:rPr>
      </w:pPr>
      <w:r>
        <w:rPr>
          <w:rFonts w:hint="eastAsia" w:ascii="等线" w:hAnsi="等线" w:eastAsia="等线" w:cs="等线"/>
          <w:b/>
          <w:bCs/>
          <w:sz w:val="22"/>
          <w:szCs w:val="22"/>
        </w:rPr>
        <w:t>项目名称：            （价格单位：人民币）                   采购编号：</w:t>
      </w:r>
    </w:p>
    <w:tbl>
      <w:tblPr>
        <w:tblStyle w:val="41"/>
        <w:tblW w:w="934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2755"/>
        <w:gridCol w:w="1215"/>
        <w:gridCol w:w="1965"/>
        <w:gridCol w:w="2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blHeader/>
        </w:trPr>
        <w:tc>
          <w:tcPr>
            <w:tcW w:w="869" w:type="dxa"/>
            <w:vAlign w:val="center"/>
          </w:tcPr>
          <w:p>
            <w:pPr>
              <w:ind w:right="-11"/>
              <w:jc w:val="center"/>
              <w:rPr>
                <w:rFonts w:ascii="等线" w:hAnsi="等线" w:eastAsia="等线" w:cs="等线"/>
                <w:b/>
                <w:sz w:val="22"/>
                <w:szCs w:val="22"/>
                <w:lang w:val="en-GB"/>
              </w:rPr>
            </w:pPr>
            <w:r>
              <w:rPr>
                <w:rFonts w:hint="eastAsia" w:ascii="等线" w:hAnsi="等线" w:eastAsia="等线" w:cs="等线"/>
                <w:b/>
              </w:rPr>
              <w:t>序号</w:t>
            </w:r>
          </w:p>
        </w:tc>
        <w:tc>
          <w:tcPr>
            <w:tcW w:w="2755" w:type="dxa"/>
            <w:vAlign w:val="center"/>
          </w:tcPr>
          <w:p>
            <w:pPr>
              <w:ind w:right="-11"/>
              <w:jc w:val="center"/>
              <w:rPr>
                <w:rFonts w:ascii="等线" w:hAnsi="等线" w:eastAsia="等线" w:cs="等线"/>
                <w:b/>
                <w:sz w:val="22"/>
                <w:szCs w:val="22"/>
                <w:lang w:val="en-GB"/>
              </w:rPr>
            </w:pPr>
            <w:r>
              <w:rPr>
                <w:rFonts w:hint="eastAsia" w:ascii="等线" w:hAnsi="等线" w:eastAsia="等线" w:cs="等线"/>
                <w:b/>
              </w:rPr>
              <w:t>名称</w:t>
            </w:r>
          </w:p>
        </w:tc>
        <w:tc>
          <w:tcPr>
            <w:tcW w:w="1215" w:type="dxa"/>
            <w:vAlign w:val="center"/>
          </w:tcPr>
          <w:p>
            <w:pPr>
              <w:ind w:right="-11"/>
              <w:jc w:val="center"/>
              <w:rPr>
                <w:rFonts w:ascii="等线" w:hAnsi="等线" w:eastAsia="等线" w:cs="等线"/>
                <w:b/>
                <w:sz w:val="22"/>
                <w:szCs w:val="22"/>
                <w:lang w:val="en-GB"/>
              </w:rPr>
            </w:pPr>
            <w:r>
              <w:rPr>
                <w:rFonts w:hint="eastAsia" w:ascii="等线" w:hAnsi="等线" w:eastAsia="等线" w:cs="等线"/>
                <w:b/>
              </w:rPr>
              <w:t>数量</w:t>
            </w:r>
          </w:p>
        </w:tc>
        <w:tc>
          <w:tcPr>
            <w:tcW w:w="1965" w:type="dxa"/>
            <w:vAlign w:val="center"/>
          </w:tcPr>
          <w:p>
            <w:pPr>
              <w:ind w:right="-11"/>
              <w:jc w:val="center"/>
              <w:rPr>
                <w:rFonts w:ascii="等线" w:hAnsi="等线" w:eastAsia="等线" w:cs="等线"/>
                <w:b/>
                <w:sz w:val="22"/>
                <w:szCs w:val="22"/>
                <w:lang w:val="en-GB"/>
              </w:rPr>
            </w:pPr>
            <w:r>
              <w:rPr>
                <w:rFonts w:hint="eastAsia" w:ascii="等线" w:hAnsi="等线" w:eastAsia="等线" w:cs="等线"/>
                <w:b/>
              </w:rPr>
              <w:t>综合单价</w:t>
            </w:r>
          </w:p>
        </w:tc>
        <w:tc>
          <w:tcPr>
            <w:tcW w:w="2541" w:type="dxa"/>
            <w:vAlign w:val="center"/>
          </w:tcPr>
          <w:p>
            <w:pPr>
              <w:ind w:right="-11"/>
              <w:jc w:val="center"/>
              <w:rPr>
                <w:rFonts w:ascii="等线" w:hAnsi="等线" w:eastAsia="等线" w:cs="等线"/>
                <w:b/>
                <w:sz w:val="22"/>
                <w:szCs w:val="22"/>
                <w:lang w:val="en-GB"/>
              </w:rPr>
            </w:pPr>
            <w:r>
              <w:rPr>
                <w:rFonts w:hint="eastAsia" w:ascii="等线" w:hAnsi="等线" w:eastAsia="等线" w:cs="等线"/>
                <w:b/>
              </w:rPr>
              <w:t>报价总额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869" w:type="dxa"/>
            <w:vAlign w:val="center"/>
          </w:tcPr>
          <w:p>
            <w:pPr>
              <w:numPr>
                <w:ilvl w:val="0"/>
                <w:numId w:val="6"/>
              </w:numPr>
              <w:jc w:val="right"/>
              <w:rPr>
                <w:rFonts w:ascii="等线" w:hAnsi="等线" w:eastAsia="等线" w:cs="等线"/>
                <w:sz w:val="22"/>
                <w:szCs w:val="22"/>
                <w:lang w:val="en-GB"/>
              </w:rPr>
            </w:pPr>
          </w:p>
        </w:tc>
        <w:tc>
          <w:tcPr>
            <w:tcW w:w="2755" w:type="dxa"/>
            <w:vAlign w:val="center"/>
          </w:tcPr>
          <w:p>
            <w:pPr>
              <w:rPr>
                <w:rFonts w:ascii="等线" w:hAnsi="等线" w:eastAsia="等线" w:cs="等线"/>
                <w:sz w:val="24"/>
              </w:rPr>
            </w:pPr>
          </w:p>
        </w:tc>
        <w:tc>
          <w:tcPr>
            <w:tcW w:w="1215" w:type="dxa"/>
            <w:vAlign w:val="center"/>
          </w:tcPr>
          <w:p>
            <w:pPr>
              <w:jc w:val="right"/>
              <w:rPr>
                <w:rFonts w:ascii="等线" w:hAnsi="等线" w:eastAsia="等线" w:cs="等线"/>
                <w:sz w:val="22"/>
                <w:szCs w:val="22"/>
                <w:lang w:val="en-GB"/>
              </w:rPr>
            </w:pPr>
          </w:p>
        </w:tc>
        <w:tc>
          <w:tcPr>
            <w:tcW w:w="1965" w:type="dxa"/>
            <w:vAlign w:val="center"/>
          </w:tcPr>
          <w:p>
            <w:pPr>
              <w:jc w:val="center"/>
              <w:rPr>
                <w:rFonts w:ascii="等线" w:hAnsi="等线" w:eastAsia="等线" w:cs="等线"/>
                <w:bCs/>
                <w:kern w:val="0"/>
                <w:sz w:val="22"/>
                <w:szCs w:val="22"/>
              </w:rPr>
            </w:pPr>
          </w:p>
        </w:tc>
        <w:tc>
          <w:tcPr>
            <w:tcW w:w="2541" w:type="dxa"/>
            <w:vAlign w:val="center"/>
          </w:tcPr>
          <w:p>
            <w:pPr>
              <w:jc w:val="center"/>
              <w:rPr>
                <w:rFonts w:ascii="等线" w:hAnsi="等线" w:eastAsia="等线" w:cs="等线"/>
                <w:sz w:val="22"/>
                <w:szCs w:val="22"/>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869" w:type="dxa"/>
            <w:vAlign w:val="center"/>
          </w:tcPr>
          <w:p>
            <w:pPr>
              <w:numPr>
                <w:ilvl w:val="0"/>
                <w:numId w:val="6"/>
              </w:numPr>
              <w:jc w:val="right"/>
              <w:rPr>
                <w:rFonts w:ascii="等线" w:hAnsi="等线" w:eastAsia="等线" w:cs="等线"/>
                <w:sz w:val="22"/>
                <w:szCs w:val="22"/>
                <w:lang w:val="en-GB"/>
              </w:rPr>
            </w:pPr>
          </w:p>
        </w:tc>
        <w:tc>
          <w:tcPr>
            <w:tcW w:w="2755" w:type="dxa"/>
            <w:vAlign w:val="center"/>
          </w:tcPr>
          <w:p>
            <w:pPr>
              <w:rPr>
                <w:rFonts w:ascii="等线" w:hAnsi="等线" w:eastAsia="等线" w:cs="等线"/>
                <w:sz w:val="24"/>
              </w:rPr>
            </w:pPr>
          </w:p>
        </w:tc>
        <w:tc>
          <w:tcPr>
            <w:tcW w:w="1215" w:type="dxa"/>
            <w:vAlign w:val="center"/>
          </w:tcPr>
          <w:p>
            <w:pPr>
              <w:jc w:val="right"/>
              <w:rPr>
                <w:rFonts w:ascii="等线" w:hAnsi="等线" w:eastAsia="等线" w:cs="等线"/>
                <w:sz w:val="22"/>
                <w:szCs w:val="22"/>
                <w:lang w:val="en-GB"/>
              </w:rPr>
            </w:pPr>
          </w:p>
        </w:tc>
        <w:tc>
          <w:tcPr>
            <w:tcW w:w="1965" w:type="dxa"/>
            <w:vAlign w:val="center"/>
          </w:tcPr>
          <w:p>
            <w:pPr>
              <w:jc w:val="center"/>
              <w:rPr>
                <w:rFonts w:ascii="等线" w:hAnsi="等线" w:eastAsia="等线" w:cs="等线"/>
                <w:bCs/>
                <w:kern w:val="0"/>
                <w:sz w:val="22"/>
                <w:szCs w:val="22"/>
              </w:rPr>
            </w:pPr>
          </w:p>
        </w:tc>
        <w:tc>
          <w:tcPr>
            <w:tcW w:w="2541" w:type="dxa"/>
            <w:vAlign w:val="center"/>
          </w:tcPr>
          <w:p>
            <w:pPr>
              <w:jc w:val="center"/>
              <w:rPr>
                <w:rFonts w:ascii="等线" w:hAnsi="等线" w:eastAsia="等线" w:cs="等线"/>
                <w:sz w:val="22"/>
                <w:szCs w:val="22"/>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869" w:type="dxa"/>
            <w:vAlign w:val="center"/>
          </w:tcPr>
          <w:p>
            <w:pPr>
              <w:numPr>
                <w:ilvl w:val="0"/>
                <w:numId w:val="6"/>
              </w:numPr>
              <w:jc w:val="right"/>
              <w:rPr>
                <w:rFonts w:ascii="等线" w:hAnsi="等线" w:eastAsia="等线" w:cs="等线"/>
                <w:sz w:val="22"/>
                <w:szCs w:val="22"/>
                <w:lang w:val="en-GB"/>
              </w:rPr>
            </w:pPr>
          </w:p>
        </w:tc>
        <w:tc>
          <w:tcPr>
            <w:tcW w:w="2755" w:type="dxa"/>
            <w:vAlign w:val="center"/>
          </w:tcPr>
          <w:p>
            <w:pPr>
              <w:jc w:val="center"/>
              <w:rPr>
                <w:rFonts w:ascii="等线" w:hAnsi="等线" w:eastAsia="等线" w:cs="等线"/>
                <w:sz w:val="22"/>
                <w:szCs w:val="22"/>
                <w:lang w:val="en-GB"/>
              </w:rPr>
            </w:pPr>
          </w:p>
        </w:tc>
        <w:tc>
          <w:tcPr>
            <w:tcW w:w="1215" w:type="dxa"/>
            <w:vAlign w:val="center"/>
          </w:tcPr>
          <w:p>
            <w:pPr>
              <w:jc w:val="right"/>
              <w:rPr>
                <w:rFonts w:ascii="等线" w:hAnsi="等线" w:eastAsia="等线" w:cs="等线"/>
                <w:sz w:val="22"/>
                <w:szCs w:val="22"/>
                <w:lang w:val="en-GB"/>
              </w:rPr>
            </w:pPr>
          </w:p>
        </w:tc>
        <w:tc>
          <w:tcPr>
            <w:tcW w:w="1965" w:type="dxa"/>
            <w:vAlign w:val="center"/>
          </w:tcPr>
          <w:p>
            <w:pPr>
              <w:jc w:val="center"/>
              <w:rPr>
                <w:rFonts w:ascii="等线" w:hAnsi="等线" w:eastAsia="等线" w:cs="等线"/>
                <w:bCs/>
                <w:kern w:val="0"/>
                <w:sz w:val="22"/>
                <w:szCs w:val="22"/>
              </w:rPr>
            </w:pPr>
          </w:p>
        </w:tc>
        <w:tc>
          <w:tcPr>
            <w:tcW w:w="2541" w:type="dxa"/>
            <w:vAlign w:val="center"/>
          </w:tcPr>
          <w:p>
            <w:pPr>
              <w:jc w:val="center"/>
              <w:rPr>
                <w:rFonts w:ascii="等线" w:hAnsi="等线" w:eastAsia="等线" w:cs="等线"/>
                <w:sz w:val="22"/>
                <w:szCs w:val="22"/>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869" w:type="dxa"/>
            <w:vAlign w:val="center"/>
          </w:tcPr>
          <w:p>
            <w:pPr>
              <w:numPr>
                <w:ilvl w:val="0"/>
                <w:numId w:val="6"/>
              </w:numPr>
              <w:jc w:val="right"/>
              <w:rPr>
                <w:rFonts w:ascii="等线" w:hAnsi="等线" w:eastAsia="等线" w:cs="等线"/>
                <w:sz w:val="22"/>
                <w:szCs w:val="22"/>
                <w:lang w:val="en-GB"/>
              </w:rPr>
            </w:pPr>
          </w:p>
        </w:tc>
        <w:tc>
          <w:tcPr>
            <w:tcW w:w="2755" w:type="dxa"/>
            <w:vAlign w:val="center"/>
          </w:tcPr>
          <w:p>
            <w:pPr>
              <w:snapToGrid w:val="0"/>
              <w:jc w:val="center"/>
              <w:rPr>
                <w:rFonts w:ascii="等线" w:hAnsi="等线" w:eastAsia="等线" w:cs="等线"/>
                <w:sz w:val="22"/>
                <w:szCs w:val="22"/>
              </w:rPr>
            </w:pPr>
          </w:p>
        </w:tc>
        <w:tc>
          <w:tcPr>
            <w:tcW w:w="1215" w:type="dxa"/>
            <w:vAlign w:val="center"/>
          </w:tcPr>
          <w:p>
            <w:pPr>
              <w:jc w:val="right"/>
              <w:rPr>
                <w:rFonts w:ascii="等线" w:hAnsi="等线" w:eastAsia="等线" w:cs="等线"/>
                <w:sz w:val="22"/>
                <w:szCs w:val="22"/>
                <w:lang w:val="en-GB"/>
              </w:rPr>
            </w:pPr>
          </w:p>
        </w:tc>
        <w:tc>
          <w:tcPr>
            <w:tcW w:w="1965" w:type="dxa"/>
            <w:vAlign w:val="center"/>
          </w:tcPr>
          <w:p>
            <w:pPr>
              <w:jc w:val="center"/>
              <w:rPr>
                <w:rFonts w:ascii="等线" w:hAnsi="等线" w:eastAsia="等线" w:cs="等线"/>
                <w:bCs/>
                <w:kern w:val="0"/>
                <w:sz w:val="22"/>
                <w:szCs w:val="22"/>
                <w:lang w:val="zh-CN"/>
              </w:rPr>
            </w:pPr>
          </w:p>
        </w:tc>
        <w:tc>
          <w:tcPr>
            <w:tcW w:w="2541" w:type="dxa"/>
            <w:vAlign w:val="center"/>
          </w:tcPr>
          <w:p>
            <w:pPr>
              <w:jc w:val="center"/>
              <w:rPr>
                <w:rFonts w:ascii="等线" w:hAnsi="等线" w:eastAsia="等线" w:cs="等线"/>
                <w:sz w:val="22"/>
                <w:szCs w:val="22"/>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869" w:type="dxa"/>
            <w:vAlign w:val="center"/>
          </w:tcPr>
          <w:p>
            <w:pPr>
              <w:numPr>
                <w:ilvl w:val="0"/>
                <w:numId w:val="6"/>
              </w:numPr>
              <w:jc w:val="right"/>
              <w:rPr>
                <w:rFonts w:ascii="等线" w:hAnsi="等线" w:eastAsia="等线" w:cs="等线"/>
                <w:sz w:val="22"/>
                <w:szCs w:val="22"/>
                <w:lang w:val="en-GB"/>
              </w:rPr>
            </w:pPr>
          </w:p>
        </w:tc>
        <w:tc>
          <w:tcPr>
            <w:tcW w:w="2755" w:type="dxa"/>
            <w:vAlign w:val="center"/>
          </w:tcPr>
          <w:p>
            <w:pPr>
              <w:jc w:val="center"/>
              <w:rPr>
                <w:rFonts w:ascii="等线" w:hAnsi="等线" w:eastAsia="等线" w:cs="等线"/>
                <w:sz w:val="22"/>
                <w:szCs w:val="22"/>
              </w:rPr>
            </w:pPr>
          </w:p>
        </w:tc>
        <w:tc>
          <w:tcPr>
            <w:tcW w:w="1215" w:type="dxa"/>
            <w:vAlign w:val="center"/>
          </w:tcPr>
          <w:p>
            <w:pPr>
              <w:jc w:val="right"/>
              <w:rPr>
                <w:rFonts w:ascii="等线" w:hAnsi="等线" w:eastAsia="等线" w:cs="等线"/>
                <w:sz w:val="22"/>
                <w:szCs w:val="22"/>
                <w:lang w:val="en-GB"/>
              </w:rPr>
            </w:pPr>
          </w:p>
        </w:tc>
        <w:tc>
          <w:tcPr>
            <w:tcW w:w="1965" w:type="dxa"/>
            <w:vAlign w:val="center"/>
          </w:tcPr>
          <w:p>
            <w:pPr>
              <w:jc w:val="center"/>
              <w:rPr>
                <w:rFonts w:ascii="等线" w:hAnsi="等线" w:eastAsia="等线" w:cs="等线"/>
                <w:bCs/>
                <w:kern w:val="0"/>
                <w:sz w:val="22"/>
                <w:szCs w:val="22"/>
                <w:lang w:val="zh-CN"/>
              </w:rPr>
            </w:pPr>
          </w:p>
        </w:tc>
        <w:tc>
          <w:tcPr>
            <w:tcW w:w="2541" w:type="dxa"/>
            <w:vAlign w:val="center"/>
          </w:tcPr>
          <w:p>
            <w:pPr>
              <w:jc w:val="center"/>
              <w:rPr>
                <w:rFonts w:ascii="等线" w:hAnsi="等线" w:eastAsia="等线" w:cs="等线"/>
                <w:sz w:val="22"/>
                <w:szCs w:val="22"/>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869" w:type="dxa"/>
            <w:vAlign w:val="center"/>
          </w:tcPr>
          <w:p>
            <w:pPr>
              <w:numPr>
                <w:ilvl w:val="0"/>
                <w:numId w:val="6"/>
              </w:numPr>
              <w:jc w:val="right"/>
              <w:rPr>
                <w:rFonts w:ascii="等线" w:hAnsi="等线" w:eastAsia="等线" w:cs="等线"/>
                <w:sz w:val="22"/>
                <w:szCs w:val="22"/>
                <w:lang w:val="en-GB"/>
              </w:rPr>
            </w:pPr>
          </w:p>
        </w:tc>
        <w:tc>
          <w:tcPr>
            <w:tcW w:w="2755" w:type="dxa"/>
            <w:vAlign w:val="center"/>
          </w:tcPr>
          <w:p>
            <w:pPr>
              <w:jc w:val="center"/>
              <w:rPr>
                <w:rFonts w:ascii="等线" w:hAnsi="等线" w:eastAsia="等线" w:cs="等线"/>
                <w:sz w:val="22"/>
                <w:szCs w:val="22"/>
              </w:rPr>
            </w:pPr>
            <w:r>
              <w:rPr>
                <w:rFonts w:hint="eastAsia" w:ascii="等线" w:hAnsi="等线" w:eastAsia="等线" w:cs="等线"/>
                <w:sz w:val="22"/>
                <w:szCs w:val="22"/>
              </w:rPr>
              <w:t>......</w:t>
            </w:r>
          </w:p>
        </w:tc>
        <w:tc>
          <w:tcPr>
            <w:tcW w:w="1215" w:type="dxa"/>
            <w:vAlign w:val="center"/>
          </w:tcPr>
          <w:p>
            <w:pPr>
              <w:jc w:val="right"/>
              <w:rPr>
                <w:rFonts w:ascii="等线" w:hAnsi="等线" w:eastAsia="等线" w:cs="等线"/>
                <w:sz w:val="22"/>
                <w:szCs w:val="22"/>
                <w:lang w:val="en-GB"/>
              </w:rPr>
            </w:pPr>
          </w:p>
        </w:tc>
        <w:tc>
          <w:tcPr>
            <w:tcW w:w="1965" w:type="dxa"/>
            <w:vAlign w:val="center"/>
          </w:tcPr>
          <w:p>
            <w:pPr>
              <w:jc w:val="center"/>
              <w:rPr>
                <w:rFonts w:ascii="等线" w:hAnsi="等线" w:eastAsia="等线" w:cs="等线"/>
                <w:bCs/>
                <w:kern w:val="0"/>
                <w:sz w:val="22"/>
                <w:szCs w:val="22"/>
                <w:lang w:val="zh-CN"/>
              </w:rPr>
            </w:pPr>
          </w:p>
        </w:tc>
        <w:tc>
          <w:tcPr>
            <w:tcW w:w="2541" w:type="dxa"/>
            <w:vAlign w:val="center"/>
          </w:tcPr>
          <w:p>
            <w:pPr>
              <w:jc w:val="center"/>
              <w:rPr>
                <w:rFonts w:ascii="等线" w:hAnsi="等线" w:eastAsia="等线" w:cs="等线"/>
                <w:sz w:val="22"/>
                <w:szCs w:val="22"/>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869" w:type="dxa"/>
            <w:vAlign w:val="center"/>
          </w:tcPr>
          <w:p>
            <w:pPr>
              <w:numPr>
                <w:ilvl w:val="0"/>
                <w:numId w:val="6"/>
              </w:numPr>
              <w:jc w:val="right"/>
              <w:rPr>
                <w:rFonts w:ascii="等线" w:hAnsi="等线" w:eastAsia="等线" w:cs="等线"/>
                <w:sz w:val="22"/>
                <w:szCs w:val="22"/>
                <w:lang w:val="en-GB"/>
              </w:rPr>
            </w:pPr>
          </w:p>
        </w:tc>
        <w:tc>
          <w:tcPr>
            <w:tcW w:w="2755" w:type="dxa"/>
            <w:vAlign w:val="center"/>
          </w:tcPr>
          <w:p>
            <w:pPr>
              <w:jc w:val="center"/>
              <w:rPr>
                <w:rFonts w:ascii="等线" w:hAnsi="等线" w:eastAsia="等线" w:cs="等线"/>
                <w:sz w:val="22"/>
                <w:szCs w:val="22"/>
              </w:rPr>
            </w:pPr>
          </w:p>
        </w:tc>
        <w:tc>
          <w:tcPr>
            <w:tcW w:w="1215" w:type="dxa"/>
            <w:vAlign w:val="center"/>
          </w:tcPr>
          <w:p>
            <w:pPr>
              <w:jc w:val="right"/>
              <w:rPr>
                <w:rFonts w:ascii="等线" w:hAnsi="等线" w:eastAsia="等线" w:cs="等线"/>
                <w:sz w:val="22"/>
                <w:szCs w:val="22"/>
                <w:lang w:val="en-GB"/>
              </w:rPr>
            </w:pPr>
          </w:p>
        </w:tc>
        <w:tc>
          <w:tcPr>
            <w:tcW w:w="1965" w:type="dxa"/>
            <w:vAlign w:val="center"/>
          </w:tcPr>
          <w:p>
            <w:pPr>
              <w:jc w:val="center"/>
              <w:rPr>
                <w:rFonts w:ascii="等线" w:hAnsi="等线" w:eastAsia="等线" w:cs="等线"/>
                <w:bCs/>
                <w:kern w:val="0"/>
                <w:sz w:val="22"/>
                <w:szCs w:val="22"/>
                <w:lang w:val="zh-CN"/>
              </w:rPr>
            </w:pPr>
          </w:p>
        </w:tc>
        <w:tc>
          <w:tcPr>
            <w:tcW w:w="2541" w:type="dxa"/>
            <w:vAlign w:val="center"/>
          </w:tcPr>
          <w:p>
            <w:pPr>
              <w:jc w:val="center"/>
              <w:rPr>
                <w:rFonts w:ascii="等线" w:hAnsi="等线" w:eastAsia="等线" w:cs="等线"/>
                <w:sz w:val="22"/>
                <w:szCs w:val="22"/>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3624" w:type="dxa"/>
            <w:gridSpan w:val="2"/>
            <w:vMerge w:val="restart"/>
            <w:vAlign w:val="center"/>
          </w:tcPr>
          <w:p>
            <w:pPr>
              <w:pStyle w:val="16"/>
              <w:ind w:left="440" w:hanging="440"/>
              <w:jc w:val="center"/>
              <w:rPr>
                <w:rFonts w:ascii="等线" w:hAnsi="等线" w:eastAsia="等线" w:cs="等线"/>
                <w:b/>
                <w:sz w:val="22"/>
                <w:szCs w:val="22"/>
                <w:lang w:val="en-GB"/>
              </w:rPr>
            </w:pPr>
            <w:r>
              <w:rPr>
                <w:rFonts w:hint="eastAsia" w:ascii="等线" w:hAnsi="等线" w:eastAsia="等线" w:cs="等线"/>
                <w:b/>
                <w:bCs/>
              </w:rPr>
              <w:t>总计价</w:t>
            </w:r>
          </w:p>
        </w:tc>
        <w:tc>
          <w:tcPr>
            <w:tcW w:w="5721" w:type="dxa"/>
            <w:gridSpan w:val="3"/>
            <w:vAlign w:val="center"/>
          </w:tcPr>
          <w:p>
            <w:pPr>
              <w:pStyle w:val="16"/>
              <w:rPr>
                <w:rFonts w:ascii="等线" w:hAnsi="等线" w:eastAsia="等线" w:cs="等线"/>
                <w:sz w:val="22"/>
                <w:szCs w:val="22"/>
              </w:rPr>
            </w:pPr>
            <w:r>
              <w:rPr>
                <w:rFonts w:hint="eastAsia" w:ascii="等线" w:hAnsi="等线" w:eastAsia="等线" w:cs="等线"/>
                <w:b/>
                <w:bCs/>
              </w:rPr>
              <w:t>（大写）人民币：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3624" w:type="dxa"/>
            <w:gridSpan w:val="2"/>
            <w:vMerge w:val="continue"/>
            <w:vAlign w:val="center"/>
          </w:tcPr>
          <w:p>
            <w:pPr>
              <w:pStyle w:val="16"/>
              <w:ind w:left="440" w:hanging="440"/>
              <w:jc w:val="center"/>
              <w:rPr>
                <w:rFonts w:ascii="等线" w:hAnsi="等线" w:eastAsia="等线" w:cs="等线"/>
                <w:b/>
                <w:sz w:val="22"/>
                <w:szCs w:val="22"/>
                <w:lang w:val="en-GB"/>
              </w:rPr>
            </w:pPr>
          </w:p>
        </w:tc>
        <w:tc>
          <w:tcPr>
            <w:tcW w:w="5721" w:type="dxa"/>
            <w:gridSpan w:val="3"/>
            <w:vAlign w:val="center"/>
          </w:tcPr>
          <w:p>
            <w:pPr>
              <w:pStyle w:val="16"/>
              <w:rPr>
                <w:rFonts w:ascii="等线" w:hAnsi="等线" w:eastAsia="等线" w:cs="等线"/>
                <w:sz w:val="22"/>
                <w:szCs w:val="22"/>
              </w:rPr>
            </w:pPr>
            <w:r>
              <w:rPr>
                <w:rFonts w:hint="eastAsia" w:ascii="等线" w:hAnsi="等线" w:eastAsia="等线" w:cs="等线"/>
                <w:b/>
                <w:bCs/>
              </w:rPr>
              <w:t>（小写）￥</w:t>
            </w:r>
          </w:p>
        </w:tc>
      </w:tr>
    </w:tbl>
    <w:p>
      <w:pPr>
        <w:spacing w:line="380" w:lineRule="exact"/>
        <w:rPr>
          <w:rFonts w:ascii="等线" w:hAnsi="等线" w:eastAsia="等线" w:cs="等线"/>
          <w:b/>
          <w:bCs/>
          <w:sz w:val="22"/>
          <w:szCs w:val="22"/>
        </w:rPr>
      </w:pPr>
      <w:r>
        <w:rPr>
          <w:rFonts w:hint="eastAsia" w:ascii="等线" w:hAnsi="等线" w:eastAsia="等线" w:cs="等线"/>
          <w:b/>
          <w:bCs/>
          <w:sz w:val="22"/>
          <w:szCs w:val="22"/>
        </w:rPr>
        <w:t>说明：</w:t>
      </w:r>
    </w:p>
    <w:p>
      <w:pPr>
        <w:spacing w:line="380" w:lineRule="exact"/>
        <w:rPr>
          <w:rFonts w:ascii="等线" w:hAnsi="等线" w:eastAsia="等线" w:cs="等线"/>
          <w:b/>
        </w:rPr>
      </w:pPr>
      <w:r>
        <w:rPr>
          <w:rFonts w:hint="eastAsia" w:ascii="等线" w:hAnsi="等线" w:eastAsia="等线" w:cs="等线"/>
          <w:b/>
        </w:rPr>
        <w:t>1. 此栏内“总计价”应与2.2“开标一览表”中“报价”相一致。</w:t>
      </w:r>
    </w:p>
    <w:p>
      <w:pPr>
        <w:spacing w:line="380" w:lineRule="exact"/>
        <w:rPr>
          <w:rFonts w:ascii="等线" w:hAnsi="等线" w:eastAsia="等线" w:cs="等线"/>
          <w:b/>
        </w:rPr>
      </w:pPr>
      <w:r>
        <w:rPr>
          <w:rFonts w:hint="eastAsia" w:ascii="等线" w:hAnsi="等线" w:eastAsia="等线" w:cs="等线"/>
          <w:b/>
        </w:rPr>
        <w:t>2.本表所列费用为本项目的全部费用，未列费用均认为综合考虑。</w:t>
      </w:r>
    </w:p>
    <w:p>
      <w:pPr>
        <w:spacing w:line="380" w:lineRule="exact"/>
        <w:rPr>
          <w:rFonts w:ascii="等线" w:hAnsi="等线" w:eastAsia="等线" w:cs="等线"/>
          <w:b/>
        </w:rPr>
      </w:pPr>
      <w:r>
        <w:rPr>
          <w:rFonts w:hint="eastAsia" w:ascii="等线" w:hAnsi="等线" w:eastAsia="等线" w:cs="等线"/>
          <w:b/>
        </w:rPr>
        <w:t>3. 本表可在不改变格式的情况下根据具体需要自行增减</w:t>
      </w:r>
    </w:p>
    <w:p>
      <w:pPr>
        <w:spacing w:line="380" w:lineRule="exact"/>
        <w:rPr>
          <w:rFonts w:ascii="等线" w:hAnsi="等线" w:eastAsia="等线" w:cs="等线"/>
          <w:b/>
        </w:rPr>
      </w:pPr>
      <w:r>
        <w:rPr>
          <w:rFonts w:hint="eastAsia" w:ascii="等线" w:hAnsi="等线" w:eastAsia="等线" w:cs="等线"/>
          <w:b/>
        </w:rPr>
        <w:t>4.供应商须仔细填写报价明细表，供应商可以根据完成本项目所需提供产品及服务内容及其他所有费用自行编制。</w:t>
      </w:r>
    </w:p>
    <w:p>
      <w:pPr>
        <w:spacing w:line="380" w:lineRule="exact"/>
        <w:rPr>
          <w:rFonts w:ascii="等线" w:hAnsi="等线" w:eastAsia="等线" w:cs="等线"/>
          <w:b/>
        </w:rPr>
      </w:pPr>
      <w:r>
        <w:rPr>
          <w:rFonts w:hint="eastAsia" w:ascii="等线" w:hAnsi="等线" w:eastAsia="等线" w:cs="等线"/>
          <w:b/>
        </w:rPr>
        <w:t>5.▲不提供此表格的将视为没有实质性响应招标文件。</w:t>
      </w:r>
    </w:p>
    <w:p>
      <w:pPr>
        <w:spacing w:line="380" w:lineRule="exact"/>
        <w:rPr>
          <w:rFonts w:ascii="等线" w:hAnsi="等线" w:eastAsia="等线" w:cs="等线"/>
          <w:b/>
          <w:bCs/>
          <w:sz w:val="22"/>
          <w:szCs w:val="22"/>
        </w:rPr>
      </w:pPr>
    </w:p>
    <w:p>
      <w:pPr>
        <w:spacing w:line="380" w:lineRule="exact"/>
        <w:rPr>
          <w:rFonts w:ascii="等线" w:hAnsi="等线" w:eastAsia="等线" w:cs="等线"/>
          <w:b/>
          <w:bCs/>
          <w:sz w:val="22"/>
          <w:szCs w:val="22"/>
        </w:rPr>
      </w:pPr>
      <w:r>
        <w:rPr>
          <w:rFonts w:hint="eastAsia" w:ascii="等线" w:hAnsi="等线" w:eastAsia="等线" w:cs="等线"/>
          <w:b/>
          <w:bCs/>
          <w:sz w:val="22"/>
          <w:szCs w:val="22"/>
        </w:rPr>
        <w:t xml:space="preserve">                                                  </w:t>
      </w:r>
    </w:p>
    <w:p>
      <w:pPr>
        <w:spacing w:line="380" w:lineRule="exact"/>
        <w:rPr>
          <w:rFonts w:ascii="等线" w:hAnsi="等线" w:eastAsia="等线" w:cs="等线"/>
          <w:b/>
          <w:bCs/>
          <w:sz w:val="22"/>
          <w:szCs w:val="22"/>
        </w:rPr>
      </w:pPr>
      <w:r>
        <w:rPr>
          <w:rFonts w:hint="eastAsia" w:ascii="等线" w:hAnsi="等线" w:eastAsia="等线" w:cs="等线"/>
          <w:b/>
          <w:bCs/>
          <w:sz w:val="22"/>
          <w:szCs w:val="22"/>
        </w:rPr>
        <w:t>供应商全称（盖章）：</w:t>
      </w:r>
    </w:p>
    <w:p>
      <w:pPr>
        <w:spacing w:line="380" w:lineRule="exact"/>
        <w:rPr>
          <w:rFonts w:ascii="等线" w:hAnsi="等线" w:eastAsia="等线" w:cs="等线"/>
          <w:b/>
          <w:bCs/>
          <w:sz w:val="22"/>
          <w:szCs w:val="22"/>
        </w:rPr>
      </w:pPr>
      <w:r>
        <w:rPr>
          <w:rFonts w:hint="eastAsia" w:ascii="等线" w:hAnsi="等线" w:eastAsia="等线" w:cs="等线"/>
          <w:b/>
          <w:bCs/>
          <w:sz w:val="22"/>
          <w:szCs w:val="22"/>
        </w:rPr>
        <w:t>法定代表人或授权代表（签名或盖章）：</w:t>
      </w:r>
    </w:p>
    <w:p>
      <w:pPr>
        <w:spacing w:line="380" w:lineRule="exact"/>
        <w:rPr>
          <w:rFonts w:ascii="等线" w:hAnsi="等线" w:eastAsia="等线" w:cs="等线"/>
          <w:b/>
          <w:bCs/>
          <w:sz w:val="22"/>
          <w:szCs w:val="22"/>
        </w:rPr>
      </w:pPr>
      <w:r>
        <w:rPr>
          <w:rFonts w:hint="eastAsia" w:ascii="等线" w:hAnsi="等线" w:eastAsia="等线" w:cs="等线"/>
          <w:b/>
          <w:bCs/>
          <w:sz w:val="22"/>
          <w:szCs w:val="22"/>
        </w:rPr>
        <w:t>日 期：  年  月  日</w:t>
      </w:r>
    </w:p>
    <w:p>
      <w:pPr>
        <w:snapToGrid w:val="0"/>
        <w:spacing w:line="460" w:lineRule="atLeast"/>
        <w:rPr>
          <w:rFonts w:ascii="宋体" w:hAnsi="宋体"/>
          <w:sz w:val="36"/>
          <w:szCs w:val="36"/>
        </w:rPr>
      </w:pPr>
    </w:p>
    <w:p>
      <w:pPr>
        <w:pStyle w:val="17"/>
      </w:pPr>
    </w:p>
    <w:p>
      <w:pPr>
        <w:pageBreakBefore/>
        <w:shd w:val="clear" w:color="auto" w:fill="FFFFFF"/>
        <w:snapToGrid w:val="0"/>
        <w:spacing w:line="360" w:lineRule="auto"/>
        <w:jc w:val="center"/>
        <w:outlineLvl w:val="2"/>
        <w:rPr>
          <w:sz w:val="36"/>
          <w:szCs w:val="36"/>
        </w:rPr>
      </w:pPr>
      <w:r>
        <w:rPr>
          <w:rFonts w:hint="eastAsia"/>
          <w:sz w:val="36"/>
          <w:szCs w:val="36"/>
        </w:rPr>
        <w:t>2.4中小企业声明函、监狱企业、残疾人福利性单位及其他相关的充分的证明材料</w:t>
      </w:r>
    </w:p>
    <w:p>
      <w:pPr>
        <w:snapToGrid w:val="0"/>
        <w:spacing w:line="360" w:lineRule="auto"/>
        <w:jc w:val="center"/>
        <w:rPr>
          <w:b/>
          <w:sz w:val="28"/>
          <w:szCs w:val="28"/>
        </w:rPr>
      </w:pP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360" w:lineRule="auto"/>
        <w:ind w:firstLine="420" w:firstLineChars="200"/>
      </w:pPr>
      <w:r>
        <w:rPr>
          <w:rFonts w:hint="eastAsia"/>
        </w:rPr>
        <w:t>本公司郑重声明，根据《政府采购促进中小企业发展暂行办法》（财库[2011]181 号）的规定，本公司为的______（请填写：中型、小型、微型）企业。即，本公司同时满足以下条件：</w:t>
      </w:r>
    </w:p>
    <w:p>
      <w:pPr>
        <w:snapToGrid w:val="0"/>
        <w:spacing w:line="360" w:lineRule="auto"/>
        <w:ind w:firstLine="420" w:firstLineChars="200"/>
      </w:pPr>
      <w:r>
        <w:rPr>
          <w:rFonts w:hint="eastAsia"/>
        </w:rPr>
        <w:t>1、根据《工业和信息化部、国家统计局、国家发展和改革委员会、财政部关于印发中小企业划型标准规定的通知》（工信部联企业[2011]300号）规定的划分标准，本公司为</w:t>
      </w:r>
      <w:r>
        <w:rPr>
          <w:rFonts w:hint="eastAsia"/>
          <w:u w:val="single"/>
        </w:rPr>
        <w:t>______</w:t>
      </w:r>
      <w:r>
        <w:rPr>
          <w:rFonts w:hint="eastAsia"/>
        </w:rPr>
        <w:t>（请填写：中型、小型、微型）企业。</w:t>
      </w:r>
    </w:p>
    <w:p>
      <w:pPr>
        <w:snapToGrid w:val="0"/>
        <w:spacing w:line="360" w:lineRule="auto"/>
        <w:ind w:firstLine="420" w:firstLineChars="200"/>
      </w:pPr>
      <w:r>
        <w:rPr>
          <w:rFonts w:hint="eastAsia"/>
        </w:rPr>
        <w:t>2、本公司参加______（采购人）的______（项目名称）______（标项名称）采购活动提供本企业提供服务，或者提供其他______（请填写：中型、小型、微型）企业提供服务（制造商的中小企业声明函另附）。本条所称货物不包括使用大型企业注册商标的货物。</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pBdr>
          <w:bottom w:val="single" w:color="auto" w:sz="6" w:space="1"/>
        </w:pBd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5）注：小型、微型企业参加政府采购活动时，应提供：a）《中小企业声明函》；上述证明材料提供不齐全的，不能享受价格扣除。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46"/>
        <w:snapToGrid w:val="0"/>
        <w:spacing w:line="360" w:lineRule="auto"/>
        <w:ind w:left="360" w:firstLine="0" w:firstLineChars="0"/>
        <w:rPr>
          <w:rFonts w:cs="宋体"/>
        </w:rPr>
      </w:pPr>
      <w:r>
        <w:rPr>
          <w:rFonts w:hint="eastAsia" w:cs="宋体"/>
        </w:rPr>
        <w:t>扶持政策说明：</w:t>
      </w:r>
    </w:p>
    <w:p>
      <w:pPr>
        <w:pStyle w:val="46"/>
        <w:snapToGrid w:val="0"/>
        <w:spacing w:line="360" w:lineRule="auto"/>
        <w:rPr>
          <w:rFonts w:cs="宋体"/>
        </w:rPr>
      </w:pPr>
      <w:r>
        <w:rPr>
          <w:rFonts w:hint="eastAsia" w:cs="宋体"/>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u w:val="single"/>
        </w:rPr>
        <w:t>6%</w:t>
      </w:r>
      <w:r>
        <w:rPr>
          <w:rFonts w:hint="eastAsia" w:cs="宋体"/>
        </w:rPr>
        <w:t>的扣除，并用扣除后的价格计算价格评分。</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46"/>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4"/>
      </w:pPr>
      <w:bookmarkStart w:id="15" w:name="_Toc30408915"/>
      <w:bookmarkStart w:id="16" w:name="_Toc424164168"/>
      <w:bookmarkStart w:id="17" w:name="_Toc440162800"/>
      <w:bookmarkStart w:id="18" w:name="_Toc8008423"/>
      <w:bookmarkStart w:id="19" w:name="_Toc7988414"/>
      <w:bookmarkStart w:id="20" w:name="_Toc7988468"/>
      <w:bookmarkStart w:id="21" w:name="_Toc24550050"/>
      <w:r>
        <w:rPr>
          <w:rFonts w:hint="eastAsia"/>
        </w:rPr>
        <w:t>三、“商务技术文件</w:t>
      </w:r>
      <w:r>
        <w:t>”</w:t>
      </w:r>
      <w:r>
        <w:rPr>
          <w:rFonts w:hint="eastAsia"/>
        </w:rPr>
        <w:t>格式</w:t>
      </w:r>
      <w:bookmarkEnd w:id="15"/>
      <w:bookmarkEnd w:id="16"/>
      <w:bookmarkEnd w:id="17"/>
      <w:bookmarkEnd w:id="18"/>
      <w:bookmarkEnd w:id="19"/>
      <w:bookmarkEnd w:id="20"/>
      <w:bookmarkEnd w:id="21"/>
    </w:p>
    <w:p>
      <w:pPr>
        <w:pStyle w:val="5"/>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rPr>
        <w:t>平阳县宋埠站位水质提升与水质稳定</w:t>
      </w:r>
      <w:r>
        <w:rPr>
          <w:rFonts w:hint="eastAsia" w:ascii="华文中宋" w:hAnsi="华文中宋" w:eastAsia="华文中宋" w:cs="Arial"/>
          <w:sz w:val="52"/>
          <w:szCs w:val="18"/>
          <w:lang w:eastAsia="zh-CN"/>
        </w:rPr>
        <w:t>项目采购</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41"/>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Layout w:type="fixed"/>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5"/>
      </w:pPr>
      <w:r>
        <w:br w:type="page"/>
      </w:r>
      <w:r>
        <w:rPr>
          <w:rFonts w:hint="eastAsia"/>
        </w:rPr>
        <w:t>3.2供应商自评分指引表</w:t>
      </w:r>
    </w:p>
    <w:tbl>
      <w:tblPr>
        <w:tblStyle w:val="41"/>
        <w:tblW w:w="9905" w:type="dxa"/>
        <w:tblInd w:w="0" w:type="dxa"/>
        <w:tblLayout w:type="fixed"/>
        <w:tblCellMar>
          <w:top w:w="0" w:type="dxa"/>
          <w:left w:w="0" w:type="dxa"/>
          <w:bottom w:w="0" w:type="dxa"/>
          <w:right w:w="0" w:type="dxa"/>
        </w:tblCellMar>
      </w:tblPr>
      <w:tblGrid>
        <w:gridCol w:w="1095"/>
        <w:gridCol w:w="7470"/>
        <w:gridCol w:w="1340"/>
      </w:tblGrid>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43"/>
      </w:pPr>
    </w:p>
    <w:p>
      <w:pPr>
        <w:snapToGrid w:val="0"/>
        <w:spacing w:line="360" w:lineRule="exact"/>
        <w:jc w:val="center"/>
        <w:rPr>
          <w:b/>
          <w:sz w:val="28"/>
          <w:szCs w:val="22"/>
        </w:rPr>
      </w:pPr>
      <w:r>
        <w:rPr>
          <w:b/>
          <w:sz w:val="28"/>
          <w:szCs w:val="22"/>
        </w:rPr>
        <w:t>供应商参与政府采购活动投标资格声明函</w:t>
      </w:r>
    </w:p>
    <w:tbl>
      <w:tblPr>
        <w:tblStyle w:val="41"/>
        <w:tblW w:w="9612" w:type="dxa"/>
        <w:tblInd w:w="108" w:type="dxa"/>
        <w:tblLayout w:type="fixed"/>
        <w:tblCellMar>
          <w:top w:w="0" w:type="dxa"/>
          <w:left w:w="0" w:type="dxa"/>
          <w:bottom w:w="0" w:type="dxa"/>
          <w:right w:w="0" w:type="dxa"/>
        </w:tblCellMar>
      </w:tblPr>
      <w:tblGrid>
        <w:gridCol w:w="1620"/>
        <w:gridCol w:w="7992"/>
      </w:tblGrid>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Layout w:type="fixed"/>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Layout w:type="fixed"/>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Layout w:type="fixed"/>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Layout w:type="fixed"/>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6"/>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6"/>
        <w:adjustRightInd w:val="0"/>
        <w:snapToGrid w:val="0"/>
        <w:spacing w:line="360" w:lineRule="atLeast"/>
        <w:ind w:firstLine="450"/>
        <w:rPr>
          <w:rFonts w:hAnsi="宋体"/>
          <w:sz w:val="22"/>
          <w:szCs w:val="22"/>
          <w:u w:val="single"/>
        </w:rPr>
      </w:pPr>
      <w:r>
        <w:rPr>
          <w:rFonts w:hint="eastAsia" w:hAnsi="宋体"/>
          <w:sz w:val="22"/>
          <w:szCs w:val="22"/>
          <w:u w:val="single"/>
        </w:rPr>
        <w:t>平阳县海西镇人民政府：</w:t>
      </w:r>
    </w:p>
    <w:p>
      <w:pPr>
        <w:pStyle w:val="16"/>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rFonts w:hint="eastAsia"/>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6"/>
        <w:adjustRightInd w:val="0"/>
        <w:snapToGrid w:val="0"/>
        <w:spacing w:line="340" w:lineRule="atLeast"/>
        <w:rPr>
          <w:rFonts w:hAnsi="宋体"/>
          <w:sz w:val="22"/>
          <w:szCs w:val="22"/>
        </w:rPr>
      </w:pPr>
      <w:r>
        <w:rPr>
          <w:rFonts w:hint="eastAsia" w:hAnsi="宋体"/>
          <w:sz w:val="22"/>
          <w:szCs w:val="22"/>
          <w:u w:val="single"/>
        </w:rPr>
        <w:t>平阳县海西镇人民政府</w:t>
      </w:r>
      <w:r>
        <w:rPr>
          <w:rFonts w:hint="eastAsia" w:hAnsi="宋体"/>
          <w:sz w:val="22"/>
          <w:szCs w:val="22"/>
        </w:rPr>
        <w:t>：</w:t>
      </w:r>
    </w:p>
    <w:p>
      <w:pPr>
        <w:pStyle w:val="16"/>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41"/>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5" w:hRule="atLeast"/>
        </w:trPr>
        <w:tc>
          <w:tcPr>
            <w:tcW w:w="9075" w:type="dxa"/>
          </w:tcPr>
          <w:p>
            <w:pPr>
              <w:pStyle w:val="16"/>
              <w:adjustRightInd w:val="0"/>
              <w:snapToGrid w:val="0"/>
              <w:spacing w:line="320" w:lineRule="atLeast"/>
              <w:rPr>
                <w:rFonts w:hAnsi="宋体"/>
                <w:sz w:val="36"/>
                <w:szCs w:val="24"/>
                <w:u w:val="single"/>
              </w:rPr>
            </w:pPr>
          </w:p>
          <w:p>
            <w:pPr>
              <w:pStyle w:val="16"/>
              <w:adjustRightInd w:val="0"/>
              <w:snapToGrid w:val="0"/>
              <w:spacing w:line="320" w:lineRule="atLeast"/>
              <w:rPr>
                <w:rFonts w:hAnsi="宋体"/>
                <w:sz w:val="36"/>
                <w:szCs w:val="24"/>
                <w:u w:val="single"/>
              </w:rPr>
            </w:pPr>
          </w:p>
          <w:p>
            <w:pPr>
              <w:pStyle w:val="16"/>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6"/>
        <w:adjustRightInd w:val="0"/>
        <w:snapToGrid w:val="0"/>
        <w:spacing w:line="320" w:lineRule="atLeast"/>
        <w:jc w:val="center"/>
        <w:outlineLvl w:val="0"/>
        <w:rPr>
          <w:rFonts w:hAnsi="宋体"/>
          <w:b/>
          <w:sz w:val="36"/>
        </w:rPr>
      </w:pPr>
    </w:p>
    <w:p>
      <w:pPr>
        <w:pStyle w:val="16"/>
        <w:adjustRightInd w:val="0"/>
        <w:snapToGrid w:val="0"/>
        <w:spacing w:line="320" w:lineRule="atLeast"/>
        <w:outlineLvl w:val="0"/>
        <w:rPr>
          <w:rFonts w:hAnsi="宋体" w:cs="宋体"/>
          <w:kern w:val="0"/>
          <w:sz w:val="32"/>
          <w:szCs w:val="24"/>
        </w:rPr>
      </w:pPr>
    </w:p>
    <w:p>
      <w:pPr>
        <w:pStyle w:val="16"/>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6"/>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cols w:space="720" w:num="1"/>
          <w:docGrid w:linePitch="312" w:charSpace="0"/>
        </w:sectPr>
      </w:pPr>
    </w:p>
    <w:p>
      <w:pPr>
        <w:pStyle w:val="16"/>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41"/>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Layout w:type="fixed"/>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6"/>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cols w:space="720" w:num="1"/>
          <w:docGrid w:linePitch="312" w:charSpace="0"/>
        </w:sectPr>
      </w:pPr>
    </w:p>
    <w:p>
      <w:pPr>
        <w:pStyle w:val="16"/>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41"/>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Layout w:type="fixed"/>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6"/>
        <w:adjustRightInd w:val="0"/>
        <w:snapToGrid w:val="0"/>
        <w:spacing w:line="460" w:lineRule="atLeast"/>
        <w:rPr>
          <w:rFonts w:hAnsi="宋体"/>
          <w:spacing w:val="20"/>
          <w:sz w:val="24"/>
        </w:rPr>
      </w:pPr>
    </w:p>
    <w:p>
      <w:pPr>
        <w:pStyle w:val="16"/>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5"/>
        <w:spacing w:before="120" w:after="120"/>
        <w:ind w:left="652" w:hanging="652"/>
        <w:rPr>
          <w:b/>
          <w:sz w:val="32"/>
        </w:rPr>
      </w:pPr>
    </w:p>
    <w:p>
      <w:pPr>
        <w:pStyle w:val="15"/>
        <w:spacing w:before="120" w:after="120"/>
        <w:ind w:left="652" w:hanging="652"/>
        <w:rPr>
          <w:b/>
          <w:sz w:val="32"/>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rPr>
        <w:t>7年1月1日以来类似业绩</w:t>
      </w:r>
      <w:r>
        <w:rPr>
          <w:rFonts w:hint="eastAsia"/>
          <w:b/>
          <w:sz w:val="32"/>
          <w:lang w:val="zh-CN"/>
        </w:rPr>
        <w:t>证明</w:t>
      </w:r>
    </w:p>
    <w:p>
      <w:pPr>
        <w:pStyle w:val="16"/>
        <w:snapToGrid w:val="0"/>
        <w:spacing w:line="324" w:lineRule="auto"/>
        <w:jc w:val="center"/>
        <w:rPr>
          <w:rFonts w:hAnsi="宋体"/>
          <w:b/>
          <w:sz w:val="30"/>
        </w:rPr>
      </w:pPr>
    </w:p>
    <w:p>
      <w:pPr>
        <w:pStyle w:val="16"/>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rPr>
        <w:t>7年1月1日以来类似业绩证明</w:t>
      </w:r>
    </w:p>
    <w:p>
      <w:pPr>
        <w:pStyle w:val="16"/>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41"/>
        <w:tblW w:w="925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43"/>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pStyle w:val="43"/>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6"/>
        <w:snapToGrid w:val="0"/>
        <w:spacing w:line="460" w:lineRule="atLeast"/>
        <w:rPr>
          <w:rFonts w:hAnsi="宋体"/>
          <w:b/>
          <w:bCs/>
          <w:sz w:val="32"/>
        </w:rPr>
      </w:pPr>
      <w:r>
        <w:rPr>
          <w:rFonts w:hint="eastAsia" w:hAnsi="宋体" w:cs="宋体"/>
          <w:sz w:val="22"/>
          <w:szCs w:val="22"/>
        </w:rPr>
        <w:t xml:space="preserve">日 期：      年     月    日  </w:t>
      </w: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6"/>
        <w:snapToGrid w:val="0"/>
        <w:spacing w:line="324" w:lineRule="auto"/>
        <w:jc w:val="center"/>
        <w:rPr>
          <w:rFonts w:hAnsi="宋体"/>
          <w:b/>
          <w:sz w:val="30"/>
        </w:rPr>
      </w:pPr>
      <w:r>
        <w:rPr>
          <w:rFonts w:hint="eastAsia" w:hAnsi="宋体"/>
          <w:b/>
          <w:sz w:val="30"/>
        </w:rPr>
        <w:t>拟派项目负责人履历表</w:t>
      </w:r>
    </w:p>
    <w:tbl>
      <w:tblPr>
        <w:tblStyle w:val="41"/>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47"/>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48"/>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6"/>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6"/>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43"/>
        <w:rPr>
          <w:rFonts w:ascii="宋体"/>
          <w:sz w:val="10"/>
          <w:szCs w:val="10"/>
        </w:rPr>
      </w:pPr>
    </w:p>
    <w:p>
      <w:pPr>
        <w:pStyle w:val="10"/>
        <w:rPr>
          <w:rFonts w:ascii="宋体"/>
          <w:sz w:val="10"/>
          <w:szCs w:val="10"/>
        </w:rPr>
        <w:sectPr>
          <w:pgSz w:w="11907" w:h="16840"/>
          <w:pgMar w:top="1440" w:right="1106" w:bottom="1440" w:left="1157" w:header="720" w:footer="720" w:gutter="0"/>
          <w:cols w:space="720" w:num="1"/>
          <w:docGrid w:linePitch="312" w:charSpace="0"/>
        </w:sectPr>
      </w:pPr>
    </w:p>
    <w:p>
      <w:pPr>
        <w:pStyle w:val="16"/>
        <w:snapToGrid w:val="0"/>
        <w:spacing w:line="324" w:lineRule="auto"/>
        <w:jc w:val="center"/>
        <w:rPr>
          <w:rFonts w:hAnsi="宋体"/>
          <w:b/>
          <w:sz w:val="30"/>
        </w:rPr>
      </w:pPr>
      <w:r>
        <w:rPr>
          <w:rFonts w:hint="eastAsia" w:hAnsi="宋体"/>
          <w:b/>
          <w:sz w:val="30"/>
        </w:rPr>
        <w:t>项目主管人员、专业人员概况</w:t>
      </w:r>
    </w:p>
    <w:tbl>
      <w:tblPr>
        <w:tblStyle w:val="41"/>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10"/>
      </w:pPr>
    </w:p>
    <w:p>
      <w:pPr>
        <w:pStyle w:val="9"/>
        <w:ind w:firstLine="210"/>
      </w:pPr>
    </w:p>
    <w:p>
      <w:pPr>
        <w:pStyle w:val="9"/>
        <w:ind w:firstLine="210"/>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43"/>
        <w:rPr>
          <w:rFonts w:eastAsia="新宋体"/>
          <w:b/>
          <w:sz w:val="36"/>
          <w:szCs w:val="36"/>
        </w:rPr>
      </w:pPr>
    </w:p>
    <w:p>
      <w:pPr>
        <w:pStyle w:val="10"/>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sectPr>
          <w:pgSz w:w="11907" w:h="16840"/>
          <w:pgMar w:top="1440" w:right="1106" w:bottom="1440" w:left="1157" w:header="720" w:footer="720" w:gutter="0"/>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43"/>
      </w:pPr>
    </w:p>
    <w:tbl>
      <w:tblPr>
        <w:tblStyle w:val="41"/>
        <w:tblW w:w="921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6"/>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ind w:firstLine="0" w:firstLineChars="0"/>
        <w:rPr>
          <w:rFonts w:eastAsia="新宋体"/>
          <w:b/>
          <w:sz w:val="36"/>
          <w:szCs w:val="36"/>
        </w:rPr>
      </w:pPr>
    </w:p>
    <w:p>
      <w:pPr>
        <w:pStyle w:val="9"/>
        <w:ind w:firstLine="0" w:firstLineChars="0"/>
        <w:rPr>
          <w:rFonts w:eastAsia="新宋体"/>
          <w:b/>
          <w:sz w:val="36"/>
          <w:szCs w:val="36"/>
        </w:rPr>
      </w:pPr>
    </w:p>
    <w:p>
      <w:pPr>
        <w:pStyle w:val="9"/>
        <w:ind w:firstLine="0" w:firstLineChars="0"/>
        <w:rPr>
          <w:rFonts w:eastAsia="新宋体"/>
          <w:b/>
          <w:sz w:val="36"/>
          <w:szCs w:val="36"/>
        </w:rPr>
      </w:pPr>
    </w:p>
    <w:p>
      <w:pPr>
        <w:pStyle w:val="9"/>
        <w:ind w:firstLine="0" w:firstLineChars="0"/>
        <w:rPr>
          <w:rFonts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3.11 进场机具、设备、耗材明细表</w:t>
      </w:r>
    </w:p>
    <w:p>
      <w:pPr>
        <w:pStyle w:val="43"/>
        <w:rPr>
          <w:rFonts w:ascii="宋体" w:hAnsi="宋体"/>
          <w:b/>
          <w:sz w:val="30"/>
          <w:szCs w:val="30"/>
        </w:rPr>
      </w:pPr>
    </w:p>
    <w:p>
      <w:pPr>
        <w:pStyle w:val="10"/>
        <w:jc w:val="center"/>
        <w:rPr>
          <w:rFonts w:ascii="宋体" w:hAnsi="宋体"/>
          <w:b/>
          <w:bCs w:val="0"/>
          <w:sz w:val="30"/>
          <w:szCs w:val="30"/>
        </w:rPr>
      </w:pPr>
      <w:r>
        <w:rPr>
          <w:rFonts w:hint="eastAsia" w:ascii="宋体"/>
          <w:b/>
          <w:bCs w:val="0"/>
          <w:sz w:val="30"/>
          <w:szCs w:val="30"/>
        </w:rPr>
        <w:t>进场机具、设备明细表</w:t>
      </w:r>
    </w:p>
    <w:tbl>
      <w:tblPr>
        <w:tblStyle w:val="41"/>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9"/>
        <w:ind w:firstLine="301"/>
        <w:rPr>
          <w:rFonts w:ascii="宋体" w:hAnsi="宋体"/>
          <w:b/>
          <w:sz w:val="30"/>
          <w:szCs w:val="30"/>
        </w:rPr>
      </w:pPr>
    </w:p>
    <w:p>
      <w:pPr>
        <w:pStyle w:val="16"/>
        <w:spacing w:line="440" w:lineRule="exact"/>
        <w:rPr>
          <w:rFonts w:hAnsi="宋体"/>
          <w:sz w:val="22"/>
          <w:szCs w:val="22"/>
        </w:rPr>
      </w:pPr>
      <w:r>
        <w:rPr>
          <w:rFonts w:hint="eastAsia" w:hAnsi="宋体"/>
          <w:sz w:val="22"/>
          <w:szCs w:val="22"/>
        </w:rPr>
        <w:t>注：1、本表所列为供应商拟投入的作业机具、设备清单。</w:t>
      </w:r>
    </w:p>
    <w:p>
      <w:pPr>
        <w:pStyle w:val="16"/>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16"/>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p>
    <w:tbl>
      <w:tblPr>
        <w:tblStyle w:val="41"/>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16"/>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16"/>
        <w:spacing w:line="320" w:lineRule="exact"/>
        <w:ind w:left="987" w:leftChars="313" w:hanging="330" w:hangingChars="150"/>
        <w:rPr>
          <w:rFonts w:hAnsi="宋体"/>
          <w:sz w:val="22"/>
        </w:rPr>
      </w:pPr>
      <w:r>
        <w:rPr>
          <w:rFonts w:hint="eastAsia" w:hAnsi="宋体"/>
          <w:sz w:val="22"/>
        </w:rPr>
        <w:t>2、本表所列耗材价格应计入投标总价。</w:t>
      </w:r>
    </w:p>
    <w:p>
      <w:pPr>
        <w:pStyle w:val="16"/>
        <w:spacing w:line="320" w:lineRule="exact"/>
        <w:ind w:left="657" w:leftChars="313"/>
        <w:rPr>
          <w:rFonts w:hAnsi="宋体"/>
          <w:sz w:val="22"/>
        </w:rPr>
      </w:pPr>
      <w:r>
        <w:rPr>
          <w:rFonts w:hint="eastAsia" w:hAnsi="宋体"/>
          <w:sz w:val="22"/>
        </w:rPr>
        <w:t>3、此表仅提供了表格形式，供应商可按此表格编制。</w:t>
      </w:r>
    </w:p>
    <w:p>
      <w:pPr>
        <w:pStyle w:val="43"/>
      </w:pPr>
    </w:p>
    <w:p>
      <w:pPr>
        <w:pStyle w:val="43"/>
        <w:rPr>
          <w:rFonts w:ascii="宋体" w:hAnsi="宋体"/>
          <w:b/>
          <w:sz w:val="30"/>
          <w:szCs w:val="30"/>
        </w:rPr>
      </w:pPr>
    </w:p>
    <w:p>
      <w:pPr>
        <w:pStyle w:val="10"/>
        <w:rPr>
          <w:rFonts w:ascii="宋体" w:hAnsi="宋体"/>
          <w:b/>
          <w:sz w:val="30"/>
          <w:szCs w:val="30"/>
        </w:rPr>
      </w:pPr>
    </w:p>
    <w:p>
      <w:pPr>
        <w:pStyle w:val="9"/>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ind w:firstLine="301"/>
        <w:rPr>
          <w:rFonts w:ascii="宋体" w:hAnsi="宋体"/>
          <w:b/>
          <w:sz w:val="30"/>
          <w:szCs w:val="30"/>
        </w:rPr>
      </w:pPr>
    </w:p>
    <w:p>
      <w:pPr>
        <w:pStyle w:val="9"/>
        <w:ind w:firstLine="301"/>
        <w:rPr>
          <w:rFonts w:ascii="宋体" w:hAnsi="宋体"/>
          <w:b/>
          <w:sz w:val="30"/>
          <w:szCs w:val="30"/>
        </w:rPr>
      </w:pPr>
    </w:p>
    <w:p>
      <w:pPr>
        <w:pStyle w:val="9"/>
        <w:ind w:firstLine="301"/>
        <w:rPr>
          <w:rFonts w:ascii="宋体" w:hAnsi="宋体"/>
          <w:b/>
          <w:sz w:val="30"/>
          <w:szCs w:val="30"/>
        </w:rPr>
      </w:pPr>
    </w:p>
    <w:p>
      <w:pPr>
        <w:pStyle w:val="9"/>
        <w:ind w:firstLine="301"/>
        <w:rPr>
          <w:rFonts w:ascii="宋体" w:hAnsi="宋体"/>
          <w:b/>
          <w:sz w:val="30"/>
          <w:szCs w:val="30"/>
        </w:rPr>
      </w:pPr>
    </w:p>
    <w:p>
      <w:pPr>
        <w:rPr>
          <w:b/>
          <w:sz w:val="32"/>
        </w:rPr>
      </w:pPr>
    </w:p>
    <w:p>
      <w:pPr>
        <w:rPr>
          <w:b/>
          <w:sz w:val="32"/>
        </w:rPr>
      </w:pPr>
    </w:p>
    <w:p>
      <w:pPr>
        <w:rPr>
          <w:b/>
          <w:sz w:val="32"/>
          <w:lang w:val="zh-CN"/>
        </w:rPr>
      </w:pPr>
      <w:r>
        <w:rPr>
          <w:rFonts w:hint="eastAsia"/>
          <w:b/>
          <w:sz w:val="32"/>
        </w:rPr>
        <w:t>3</w:t>
      </w:r>
      <w:r>
        <w:rPr>
          <w:rFonts w:hint="eastAsia"/>
          <w:b/>
          <w:sz w:val="32"/>
          <w:lang w:val="zh-CN"/>
        </w:rPr>
        <w:t>.1</w:t>
      </w:r>
      <w:r>
        <w:rPr>
          <w:rFonts w:hint="eastAsia"/>
          <w:b/>
          <w:sz w:val="32"/>
        </w:rPr>
        <w:t>2</w:t>
      </w:r>
      <w:r>
        <w:rPr>
          <w:rFonts w:hint="eastAsia"/>
          <w:b/>
          <w:sz w:val="32"/>
          <w:lang w:val="zh-CN"/>
        </w:rPr>
        <w:t>供应商认为有必要提供的其他材料或说明（如有）</w:t>
      </w:r>
    </w:p>
    <w:p>
      <w:pPr>
        <w:pStyle w:val="43"/>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rPr>
        <w:t>平阳县宋埠站位水质提升与水质稳定</w:t>
      </w:r>
      <w:r>
        <w:rPr>
          <w:rFonts w:hint="eastAsia" w:ascii="仿宋" w:hAnsi="仿宋" w:eastAsia="仿宋" w:cs="Arial"/>
          <w:b/>
          <w:szCs w:val="22"/>
          <w:u w:val="single"/>
          <w:lang w:eastAsia="zh-CN"/>
        </w:rPr>
        <w:t>项目采购</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41"/>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43"/>
        <w:rPr>
          <w:rFonts w:eastAsia="新宋体"/>
          <w:b/>
          <w:sz w:val="36"/>
          <w:szCs w:val="36"/>
        </w:rPr>
      </w:pPr>
    </w:p>
    <w:p>
      <w:pPr>
        <w:pStyle w:val="10"/>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3.13质量服务承诺书、诚信投标承诺书</w:t>
      </w:r>
    </w:p>
    <w:p>
      <w:pPr>
        <w:pStyle w:val="10"/>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（项目名称）项目的中标供应商，将作出以下承诺：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6"/>
        <w:adjustRightInd w:val="0"/>
        <w:snapToGrid w:val="0"/>
        <w:spacing w:line="400" w:lineRule="exact"/>
        <w:jc w:val="center"/>
        <w:rPr>
          <w:rFonts w:hAnsi="宋体" w:eastAsia="新宋体"/>
          <w:sz w:val="24"/>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9"/>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9"/>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9"/>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9"/>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49"/>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12"/>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4"/>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4"/>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cols w:space="720" w:num="1"/>
          <w:docGrid w:linePitch="312" w:charSpace="0"/>
        </w:sectPr>
      </w:pPr>
    </w:p>
    <w:p>
      <w:pPr>
        <w:pStyle w:val="16"/>
        <w:adjustRightInd w:val="0"/>
        <w:snapToGrid w:val="0"/>
        <w:jc w:val="center"/>
        <w:rPr>
          <w:rFonts w:hAnsi="宋体" w:cs="宋体"/>
          <w:b/>
          <w:sz w:val="36"/>
          <w:szCs w:val="36"/>
        </w:rPr>
      </w:pPr>
      <w:r>
        <w:rPr>
          <w:rFonts w:hint="eastAsia" w:hAnsi="宋体" w:cs="宋体"/>
          <w:b/>
          <w:sz w:val="36"/>
          <w:szCs w:val="36"/>
        </w:rPr>
        <w:t>评标细则</w:t>
      </w:r>
    </w:p>
    <w:p>
      <w:pPr>
        <w:pStyle w:val="16"/>
        <w:adjustRightInd w:val="0"/>
        <w:snapToGrid w:val="0"/>
        <w:spacing w:before="156" w:after="156" w:line="460" w:lineRule="atLeast"/>
        <w:rPr>
          <w:rFonts w:hAnsi="宋体" w:cs="宋体"/>
          <w:b/>
          <w:sz w:val="22"/>
          <w:szCs w:val="22"/>
        </w:rPr>
      </w:pPr>
      <w:r>
        <w:rPr>
          <w:rFonts w:hint="eastAsia" w:hAnsi="宋体" w:cs="宋体"/>
          <w:b/>
          <w:sz w:val="22"/>
          <w:szCs w:val="22"/>
        </w:rPr>
        <w:t>一、商务报价评分20分</w:t>
      </w:r>
    </w:p>
    <w:p>
      <w:pPr>
        <w:pStyle w:val="16"/>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1、以有效供应商中有效投标价的最低价为评标基准价，得满分20分。商务报价评分结算公式为:投标报价得分=(评标基准价／投标报价)×20%×100。</w:t>
      </w:r>
    </w:p>
    <w:p>
      <w:pPr>
        <w:pStyle w:val="16"/>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6"/>
        <w:adjustRightInd w:val="0"/>
        <w:snapToGrid w:val="0"/>
        <w:spacing w:line="460" w:lineRule="exact"/>
        <w:rPr>
          <w:rFonts w:hint="eastAsia" w:hAnsi="宋体"/>
          <w:b/>
          <w:bCs/>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 xml:space="preserve"> </w:t>
      </w:r>
      <w:r>
        <w:rPr>
          <w:rFonts w:hint="eastAsia" w:hAnsi="宋体"/>
          <w:b/>
          <w:bCs/>
          <w:sz w:val="22"/>
          <w:szCs w:val="22"/>
        </w:rPr>
        <w:t xml:space="preserve">80分   </w:t>
      </w:r>
    </w:p>
    <w:tbl>
      <w:tblPr>
        <w:tblStyle w:val="41"/>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3304"/>
        <w:gridCol w:w="1220"/>
        <w:gridCol w:w="5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trPr>
        <w:tc>
          <w:tcPr>
            <w:tcW w:w="599" w:type="dxa"/>
            <w:vAlign w:val="center"/>
          </w:tcPr>
          <w:p>
            <w:pPr>
              <w:pStyle w:val="16"/>
              <w:adjustRightInd w:val="0"/>
              <w:snapToGrid w:val="0"/>
              <w:spacing w:line="300" w:lineRule="exact"/>
              <w:jc w:val="center"/>
              <w:rPr>
                <w:rFonts w:hint="eastAsia" w:ascii="Times New Roman" w:hAnsi="Times New Roman" w:eastAsia="宋体"/>
                <w:sz w:val="22"/>
                <w:szCs w:val="22"/>
                <w:lang w:val="en-US" w:eastAsia="zh-CN"/>
              </w:rPr>
            </w:pPr>
            <w:r>
              <w:rPr>
                <w:rFonts w:hint="eastAsia" w:ascii="Times New Roman" w:hAnsi="Times New Roman"/>
                <w:sz w:val="22"/>
                <w:szCs w:val="22"/>
                <w:lang w:val="en-US" w:eastAsia="zh-CN"/>
              </w:rPr>
              <w:t>序号</w:t>
            </w:r>
          </w:p>
        </w:tc>
        <w:tc>
          <w:tcPr>
            <w:tcW w:w="3304" w:type="dxa"/>
            <w:vAlign w:val="center"/>
          </w:tcPr>
          <w:p>
            <w:pPr>
              <w:pStyle w:val="16"/>
              <w:adjustRightInd w:val="0"/>
              <w:snapToGrid w:val="0"/>
              <w:spacing w:line="300" w:lineRule="exact"/>
              <w:jc w:val="center"/>
              <w:rPr>
                <w:rFonts w:ascii="Times New Roman" w:hAnsi="Times New Roman"/>
                <w:sz w:val="22"/>
                <w:szCs w:val="22"/>
              </w:rPr>
            </w:pPr>
            <w:r>
              <w:rPr>
                <w:rFonts w:ascii="Times New Roman" w:hAnsi="Times New Roman"/>
                <w:sz w:val="22"/>
                <w:szCs w:val="22"/>
              </w:rPr>
              <w:t>评定项目</w:t>
            </w:r>
          </w:p>
        </w:tc>
        <w:tc>
          <w:tcPr>
            <w:tcW w:w="1220" w:type="dxa"/>
            <w:vAlign w:val="center"/>
          </w:tcPr>
          <w:p>
            <w:pPr>
              <w:pStyle w:val="16"/>
              <w:adjustRightInd w:val="0"/>
              <w:snapToGrid w:val="0"/>
              <w:spacing w:line="300" w:lineRule="exact"/>
              <w:jc w:val="center"/>
              <w:rPr>
                <w:rFonts w:ascii="Times New Roman" w:hAnsi="Times New Roman"/>
                <w:sz w:val="22"/>
                <w:szCs w:val="22"/>
              </w:rPr>
            </w:pPr>
            <w:r>
              <w:rPr>
                <w:rFonts w:ascii="Times New Roman" w:hAnsi="Times New Roman"/>
                <w:sz w:val="22"/>
                <w:szCs w:val="22"/>
              </w:rPr>
              <w:t>分值</w:t>
            </w:r>
          </w:p>
          <w:p>
            <w:pPr>
              <w:pStyle w:val="16"/>
              <w:adjustRightInd w:val="0"/>
              <w:snapToGrid w:val="0"/>
              <w:spacing w:line="300" w:lineRule="exact"/>
              <w:jc w:val="center"/>
              <w:rPr>
                <w:rFonts w:ascii="Times New Roman" w:hAnsi="Times New Roman"/>
                <w:sz w:val="22"/>
                <w:szCs w:val="22"/>
              </w:rPr>
            </w:pPr>
            <w:r>
              <w:rPr>
                <w:rFonts w:ascii="Times New Roman" w:hAnsi="Times New Roman"/>
                <w:sz w:val="22"/>
                <w:szCs w:val="22"/>
              </w:rPr>
              <w:t>范围</w:t>
            </w:r>
          </w:p>
        </w:tc>
        <w:tc>
          <w:tcPr>
            <w:tcW w:w="5335" w:type="dxa"/>
            <w:vAlign w:val="center"/>
          </w:tcPr>
          <w:p>
            <w:pPr>
              <w:pStyle w:val="16"/>
              <w:adjustRightInd w:val="0"/>
              <w:snapToGrid w:val="0"/>
              <w:spacing w:line="300" w:lineRule="exact"/>
              <w:jc w:val="center"/>
              <w:rPr>
                <w:rFonts w:ascii="Times New Roman" w:hAnsi="Times New Roman"/>
                <w:sz w:val="22"/>
                <w:szCs w:val="22"/>
              </w:rPr>
            </w:pPr>
            <w:r>
              <w:rPr>
                <w:rFonts w:ascii="Times New Roman" w:hAnsi="Times New Roman"/>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6" w:hRule="atLeast"/>
        </w:trPr>
        <w:tc>
          <w:tcPr>
            <w:tcW w:w="599" w:type="dxa"/>
            <w:vAlign w:val="center"/>
          </w:tcPr>
          <w:p>
            <w:pPr>
              <w:jc w:val="center"/>
              <w:rPr>
                <w:rFonts w:hint="eastAsia" w:eastAsia="宋体"/>
                <w:sz w:val="22"/>
                <w:szCs w:val="22"/>
                <w:lang w:val="en-US" w:eastAsia="zh-CN"/>
              </w:rPr>
            </w:pPr>
            <w:r>
              <w:rPr>
                <w:rFonts w:hint="eastAsia"/>
                <w:sz w:val="22"/>
                <w:szCs w:val="22"/>
                <w:lang w:val="en-US" w:eastAsia="zh-CN"/>
              </w:rPr>
              <w:t>1</w:t>
            </w:r>
          </w:p>
        </w:tc>
        <w:tc>
          <w:tcPr>
            <w:tcW w:w="3304" w:type="dxa"/>
            <w:vAlign w:val="center"/>
          </w:tcPr>
          <w:p>
            <w:pPr>
              <w:jc w:val="center"/>
              <w:rPr>
                <w:rFonts w:hint="default" w:ascii="Times New Roman" w:hAnsi="宋体" w:eastAsia="宋体" w:cs="Times New Roman"/>
                <w:kern w:val="2"/>
                <w:sz w:val="22"/>
                <w:szCs w:val="22"/>
                <w:lang w:val="en-US" w:eastAsia="zh-CN" w:bidi="ar-SA"/>
              </w:rPr>
            </w:pPr>
            <w:r>
              <w:rPr>
                <w:rFonts w:hint="eastAsia" w:ascii="Times New Roman" w:hAnsi="宋体" w:eastAsia="宋体" w:cs="Times New Roman"/>
                <w:kern w:val="2"/>
                <w:sz w:val="22"/>
                <w:szCs w:val="22"/>
                <w:lang w:val="en-US" w:eastAsia="zh-CN" w:bidi="ar-SA"/>
              </w:rPr>
              <w:t>供应商体系认证情况</w:t>
            </w:r>
          </w:p>
        </w:tc>
        <w:tc>
          <w:tcPr>
            <w:tcW w:w="1220" w:type="dxa"/>
            <w:vAlign w:val="center"/>
          </w:tcPr>
          <w:p>
            <w:pPr>
              <w:jc w:val="cente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0-3分</w:t>
            </w:r>
          </w:p>
        </w:tc>
        <w:tc>
          <w:tcPr>
            <w:tcW w:w="5335" w:type="dxa"/>
            <w:vAlign w:val="center"/>
          </w:tcPr>
          <w:p>
            <w:pPr>
              <w:pStyle w:val="54"/>
              <w:tabs>
                <w:tab w:val="left" w:pos="360"/>
                <w:tab w:val="left" w:pos="435"/>
              </w:tabs>
              <w:rPr>
                <w:rFonts w:hint="default" w:ascii="Times New Roman" w:hAnsi="宋体" w:eastAsia="宋体" w:cs="Times New Roman"/>
                <w:color w:val="auto"/>
                <w:kern w:val="2"/>
                <w:sz w:val="22"/>
                <w:szCs w:val="22"/>
                <w:highlight w:val="yellow"/>
                <w:lang w:val="en-US" w:eastAsia="zh-CN" w:bidi="ar-SA"/>
              </w:rPr>
            </w:pPr>
            <w:r>
              <w:rPr>
                <w:rFonts w:hint="eastAsia" w:ascii="Times New Roman" w:hAnsi="宋体" w:eastAsia="宋体" w:cs="Times New Roman"/>
                <w:color w:val="auto"/>
                <w:kern w:val="2"/>
                <w:sz w:val="22"/>
                <w:szCs w:val="22"/>
                <w:lang w:val="en-US" w:eastAsia="zh-CN" w:bidi="ar-SA"/>
              </w:rPr>
              <w:t>具备有效期内的质量保证体系认证、环境管理体系认证、）职业健康安全管理体系认证的，每个得1分，最多得3分。</w:t>
            </w:r>
          </w:p>
          <w:p>
            <w:pPr>
              <w:rPr>
                <w:rFonts w:hint="default"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注：提供证书复印件并加盖公章，否则不得分。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4" w:hRule="atLeast"/>
        </w:trPr>
        <w:tc>
          <w:tcPr>
            <w:tcW w:w="599" w:type="dxa"/>
            <w:vMerge w:val="restart"/>
            <w:vAlign w:val="center"/>
          </w:tcPr>
          <w:p>
            <w:pPr>
              <w:jc w:val="center"/>
              <w:rPr>
                <w:rFonts w:hint="default"/>
                <w:sz w:val="22"/>
                <w:szCs w:val="22"/>
                <w:lang w:val="en-US" w:eastAsia="zh-CN"/>
              </w:rPr>
            </w:pPr>
            <w:r>
              <w:rPr>
                <w:rFonts w:hint="eastAsia"/>
                <w:sz w:val="22"/>
                <w:szCs w:val="22"/>
                <w:lang w:val="en-US" w:eastAsia="zh-CN"/>
              </w:rPr>
              <w:t>3</w:t>
            </w:r>
          </w:p>
        </w:tc>
        <w:tc>
          <w:tcPr>
            <w:tcW w:w="3304" w:type="dxa"/>
            <w:vMerge w:val="restart"/>
            <w:vAlign w:val="center"/>
          </w:tcPr>
          <w:p>
            <w:pPr>
              <w:jc w:val="center"/>
              <w:rPr>
                <w:rFonts w:hint="default" w:ascii="Times New Roman" w:hAnsi="宋体" w:eastAsia="宋体" w:cs="Times New Roman"/>
                <w:kern w:val="2"/>
                <w:sz w:val="22"/>
                <w:szCs w:val="22"/>
                <w:lang w:val="en-US" w:eastAsia="zh-CN" w:bidi="ar-SA"/>
              </w:rPr>
            </w:pPr>
            <w:r>
              <w:rPr>
                <w:rFonts w:hint="eastAsia" w:ascii="Times New Roman" w:hAnsi="宋体" w:eastAsia="宋体" w:cs="Times New Roman"/>
                <w:kern w:val="2"/>
                <w:sz w:val="22"/>
                <w:szCs w:val="22"/>
                <w:lang w:val="en-US" w:eastAsia="zh-CN" w:bidi="ar-SA"/>
              </w:rPr>
              <w:t>项目组人员配置</w:t>
            </w:r>
          </w:p>
        </w:tc>
        <w:tc>
          <w:tcPr>
            <w:tcW w:w="1220" w:type="dxa"/>
            <w:vMerge w:val="restart"/>
            <w:vAlign w:val="center"/>
          </w:tcPr>
          <w:p>
            <w:pPr>
              <w:jc w:val="center"/>
              <w:rPr>
                <w:rFonts w:hint="default"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0-8分</w:t>
            </w:r>
          </w:p>
        </w:tc>
        <w:tc>
          <w:tcPr>
            <w:tcW w:w="5335" w:type="dxa"/>
            <w:vAlign w:val="center"/>
          </w:tcPr>
          <w:p>
            <w:pPr>
              <w:rPr>
                <w:rFonts w:hint="eastAsia" w:ascii="Times New Roman" w:hAnsi="宋体" w:eastAsia="宋体" w:cs="Times New Roman"/>
                <w:color w:val="auto"/>
                <w:kern w:val="2"/>
                <w:sz w:val="22"/>
                <w:szCs w:val="22"/>
                <w:lang w:val="en-US" w:eastAsia="zh-CN" w:bidi="ar-SA"/>
              </w:rPr>
            </w:pPr>
            <w:r>
              <w:rPr>
                <w:rFonts w:hint="default" w:ascii="Times New Roman" w:hAnsi="宋体" w:eastAsia="宋体" w:cs="Times New Roman"/>
                <w:color w:val="auto"/>
                <w:kern w:val="2"/>
                <w:sz w:val="22"/>
                <w:szCs w:val="22"/>
                <w:lang w:val="en-US" w:eastAsia="zh-CN" w:bidi="ar-SA"/>
              </w:rPr>
              <w:t>项目负责人具有环保相关专业</w:t>
            </w:r>
            <w:r>
              <w:rPr>
                <w:rFonts w:hint="eastAsia" w:ascii="Times New Roman" w:hAnsi="宋体" w:eastAsia="宋体" w:cs="Times New Roman"/>
                <w:color w:val="auto"/>
                <w:kern w:val="2"/>
                <w:sz w:val="22"/>
                <w:szCs w:val="22"/>
                <w:lang w:val="en-US" w:eastAsia="zh-CN" w:bidi="ar-SA"/>
              </w:rPr>
              <w:t>或水利相关专业中级</w:t>
            </w:r>
            <w:r>
              <w:rPr>
                <w:rFonts w:hint="default" w:ascii="Times New Roman" w:hAnsi="宋体" w:eastAsia="宋体" w:cs="Times New Roman"/>
                <w:color w:val="auto"/>
                <w:kern w:val="2"/>
                <w:sz w:val="22"/>
                <w:szCs w:val="22"/>
                <w:lang w:val="en-US" w:eastAsia="zh-CN" w:bidi="ar-SA"/>
              </w:rPr>
              <w:t>职称</w:t>
            </w:r>
            <w:r>
              <w:rPr>
                <w:rFonts w:hint="eastAsia" w:ascii="Times New Roman" w:hAnsi="宋体" w:eastAsia="宋体" w:cs="Times New Roman"/>
                <w:color w:val="auto"/>
                <w:kern w:val="2"/>
                <w:sz w:val="22"/>
                <w:szCs w:val="22"/>
                <w:lang w:val="en-US" w:eastAsia="zh-CN" w:bidi="ar-SA"/>
              </w:rPr>
              <w:t>的，得</w:t>
            </w:r>
            <w:r>
              <w:rPr>
                <w:rFonts w:hint="eastAsia"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分；</w:t>
            </w:r>
            <w:r>
              <w:rPr>
                <w:rFonts w:hint="default" w:ascii="Times New Roman" w:hAnsi="宋体" w:eastAsia="宋体" w:cs="Times New Roman"/>
                <w:color w:val="auto"/>
                <w:kern w:val="2"/>
                <w:sz w:val="22"/>
                <w:szCs w:val="22"/>
                <w:lang w:val="en-US" w:eastAsia="zh-CN" w:bidi="ar-SA"/>
              </w:rPr>
              <w:t>项目负责人具有环保相关专业</w:t>
            </w:r>
            <w:r>
              <w:rPr>
                <w:rFonts w:hint="eastAsia" w:ascii="Times New Roman" w:hAnsi="宋体" w:eastAsia="宋体" w:cs="Times New Roman"/>
                <w:color w:val="auto"/>
                <w:kern w:val="2"/>
                <w:sz w:val="22"/>
                <w:szCs w:val="22"/>
                <w:lang w:val="en-US" w:eastAsia="zh-CN" w:bidi="ar-SA"/>
              </w:rPr>
              <w:t>或水利相关专业高级及以上</w:t>
            </w:r>
            <w:r>
              <w:rPr>
                <w:rFonts w:hint="default" w:ascii="Times New Roman" w:hAnsi="宋体" w:eastAsia="宋体" w:cs="Times New Roman"/>
                <w:color w:val="auto"/>
                <w:kern w:val="2"/>
                <w:sz w:val="22"/>
                <w:szCs w:val="22"/>
                <w:lang w:val="en-US" w:eastAsia="zh-CN" w:bidi="ar-SA"/>
              </w:rPr>
              <w:t>职称</w:t>
            </w:r>
            <w:r>
              <w:rPr>
                <w:rFonts w:hint="eastAsia" w:ascii="Times New Roman" w:hAnsi="宋体" w:eastAsia="宋体" w:cs="Times New Roman"/>
                <w:color w:val="auto"/>
                <w:kern w:val="2"/>
                <w:sz w:val="22"/>
                <w:szCs w:val="22"/>
                <w:lang w:val="en-US" w:eastAsia="zh-CN" w:bidi="ar-SA"/>
              </w:rPr>
              <w:t>的，得</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分.</w:t>
            </w:r>
          </w:p>
          <w:p>
            <w:pPr>
              <w:pStyle w:val="9"/>
              <w:ind w:left="0" w:leftChars="0" w:firstLine="0" w:firstLineChars="0"/>
              <w:rPr>
                <w:rFonts w:hint="default" w:ascii="Times New Roman" w:hAnsi="宋体" w:eastAsia="宋体" w:cs="Times New Roman"/>
                <w:color w:val="auto"/>
                <w:kern w:val="2"/>
                <w:sz w:val="22"/>
                <w:szCs w:val="22"/>
                <w:lang w:val="en-US" w:eastAsia="zh-CN" w:bidi="ar-SA"/>
              </w:rPr>
            </w:pPr>
            <w:r>
              <w:rPr>
                <w:rFonts w:hint="default" w:ascii="Times New Roman" w:hAnsi="宋体" w:eastAsia="宋体" w:cs="Times New Roman"/>
                <w:color w:val="auto"/>
                <w:kern w:val="2"/>
                <w:sz w:val="22"/>
                <w:szCs w:val="22"/>
                <w:lang w:val="en-US" w:eastAsia="zh-CN" w:bidi="ar-SA"/>
              </w:rPr>
              <w:t>注：</w:t>
            </w:r>
            <w:r>
              <w:rPr>
                <w:rFonts w:hint="eastAsia" w:ascii="Times New Roman" w:hAnsi="宋体" w:eastAsia="宋体" w:cs="Times New Roman"/>
                <w:color w:val="auto"/>
                <w:kern w:val="2"/>
                <w:sz w:val="22"/>
                <w:szCs w:val="22"/>
                <w:lang w:val="en-US" w:eastAsia="zh-CN" w:bidi="ar-SA"/>
              </w:rPr>
              <w:t>提供相关职称证书复印件加盖公章及投标截止前近6个月内任意连续三个月</w:t>
            </w:r>
            <w:r>
              <w:rPr>
                <w:rFonts w:hint="default" w:ascii="Times New Roman" w:hAnsi="宋体" w:eastAsia="宋体" w:cs="Times New Roman"/>
                <w:color w:val="auto"/>
                <w:kern w:val="2"/>
                <w:sz w:val="22"/>
                <w:szCs w:val="22"/>
                <w:lang w:val="en-US" w:eastAsia="zh-CN" w:bidi="ar-SA"/>
              </w:rPr>
              <w:t>在投标单位缴纳</w:t>
            </w:r>
            <w:r>
              <w:rPr>
                <w:rFonts w:hint="eastAsia" w:ascii="Times New Roman" w:hAnsi="宋体" w:eastAsia="宋体" w:cs="Times New Roman"/>
                <w:color w:val="auto"/>
                <w:kern w:val="2"/>
                <w:sz w:val="22"/>
                <w:szCs w:val="22"/>
                <w:lang w:val="en-US" w:eastAsia="zh-CN" w:bidi="ar-SA"/>
              </w:rPr>
              <w:t>的社保证明材料复印件加盖公章，否则不得分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1" w:hRule="atLeast"/>
        </w:trPr>
        <w:tc>
          <w:tcPr>
            <w:tcW w:w="599" w:type="dxa"/>
            <w:vMerge w:val="continue"/>
            <w:vAlign w:val="center"/>
          </w:tcPr>
          <w:p/>
        </w:tc>
        <w:tc>
          <w:tcPr>
            <w:tcW w:w="3304" w:type="dxa"/>
            <w:vMerge w:val="continue"/>
            <w:vAlign w:val="center"/>
          </w:tcPr>
          <w:p>
            <w:pPr>
              <w:rPr>
                <w:rFonts w:hint="eastAsia" w:ascii="Times New Roman" w:hAnsi="宋体" w:eastAsia="宋体" w:cs="Times New Roman"/>
                <w:kern w:val="2"/>
                <w:sz w:val="22"/>
                <w:szCs w:val="22"/>
                <w:lang w:val="en-US" w:eastAsia="zh-CN" w:bidi="ar-SA"/>
              </w:rPr>
            </w:pPr>
          </w:p>
        </w:tc>
        <w:tc>
          <w:tcPr>
            <w:tcW w:w="1220" w:type="dxa"/>
            <w:vMerge w:val="continue"/>
            <w:vAlign w:val="center"/>
          </w:tcPr>
          <w:p>
            <w:pPr>
              <w:rPr>
                <w:rFonts w:hint="eastAsia" w:ascii="Times New Roman" w:hAnsi="宋体" w:eastAsia="宋体" w:cs="Times New Roman"/>
                <w:color w:val="auto"/>
                <w:kern w:val="2"/>
                <w:sz w:val="22"/>
                <w:szCs w:val="22"/>
                <w:lang w:val="en-US" w:eastAsia="zh-CN" w:bidi="ar-SA"/>
              </w:rPr>
            </w:pPr>
          </w:p>
        </w:tc>
        <w:tc>
          <w:tcPr>
            <w:tcW w:w="5335" w:type="dxa"/>
            <w:vAlign w:val="center"/>
          </w:tcPr>
          <w:p>
            <w:pP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除项目负责人外，项目组人员中</w:t>
            </w:r>
            <w:r>
              <w:rPr>
                <w:rFonts w:hint="eastAsia" w:hAnsi="宋体" w:cs="Times New Roman"/>
                <w:color w:val="auto"/>
                <w:kern w:val="2"/>
                <w:sz w:val="22"/>
                <w:szCs w:val="22"/>
                <w:lang w:val="en-US" w:eastAsia="zh-CN" w:bidi="ar-SA"/>
              </w:rPr>
              <w:t>技术负责人</w:t>
            </w:r>
            <w:r>
              <w:rPr>
                <w:rFonts w:hint="eastAsia" w:ascii="Times New Roman" w:hAnsi="宋体" w:eastAsia="宋体" w:cs="Times New Roman"/>
                <w:color w:val="auto"/>
                <w:kern w:val="2"/>
                <w:sz w:val="22"/>
                <w:szCs w:val="22"/>
                <w:lang w:val="en-US" w:eastAsia="zh-CN" w:bidi="ar-SA"/>
              </w:rPr>
              <w:t>具有</w:t>
            </w:r>
            <w:r>
              <w:rPr>
                <w:rFonts w:hint="default" w:ascii="Times New Roman" w:hAnsi="宋体" w:eastAsia="宋体" w:cs="Times New Roman"/>
                <w:color w:val="auto"/>
                <w:kern w:val="2"/>
                <w:sz w:val="22"/>
                <w:szCs w:val="22"/>
                <w:lang w:val="en-US" w:eastAsia="zh-CN" w:bidi="ar-SA"/>
              </w:rPr>
              <w:t>环保相关专业</w:t>
            </w:r>
            <w:r>
              <w:rPr>
                <w:rFonts w:hint="eastAsia" w:ascii="Times New Roman" w:hAnsi="宋体" w:eastAsia="宋体" w:cs="Times New Roman"/>
                <w:color w:val="auto"/>
                <w:kern w:val="2"/>
                <w:sz w:val="22"/>
                <w:szCs w:val="22"/>
                <w:lang w:val="en-US" w:eastAsia="zh-CN" w:bidi="ar-SA"/>
              </w:rPr>
              <w:t>或水利相关专</w:t>
            </w:r>
            <w:r>
              <w:rPr>
                <w:rFonts w:hint="eastAsia" w:ascii="Times New Roman" w:hAnsi="宋体" w:eastAsia="宋体" w:cs="Times New Roman"/>
                <w:color w:val="auto"/>
                <w:kern w:val="2"/>
                <w:sz w:val="22"/>
                <w:szCs w:val="22"/>
                <w:lang w:val="en-US" w:eastAsia="zh-CN" w:bidi="ar-SA"/>
              </w:rPr>
              <w:t>业中级</w:t>
            </w:r>
            <w:r>
              <w:rPr>
                <w:rFonts w:hint="eastAsia" w:hAnsi="宋体" w:cs="Times New Roman"/>
                <w:color w:val="auto"/>
                <w:kern w:val="2"/>
                <w:sz w:val="22"/>
                <w:szCs w:val="22"/>
                <w:lang w:val="en-US" w:eastAsia="zh-CN" w:bidi="ar-SA"/>
              </w:rPr>
              <w:t>及以上</w:t>
            </w:r>
            <w:r>
              <w:rPr>
                <w:rFonts w:hint="default" w:ascii="Times New Roman" w:hAnsi="宋体" w:eastAsia="宋体" w:cs="Times New Roman"/>
                <w:color w:val="auto"/>
                <w:kern w:val="2"/>
                <w:sz w:val="22"/>
                <w:szCs w:val="22"/>
                <w:lang w:val="en-US" w:eastAsia="zh-CN" w:bidi="ar-SA"/>
              </w:rPr>
              <w:t>职称</w:t>
            </w:r>
            <w:r>
              <w:rPr>
                <w:rFonts w:hint="eastAsia" w:ascii="Times New Roman" w:hAnsi="宋体" w:eastAsia="宋体" w:cs="Times New Roman"/>
                <w:color w:val="auto"/>
                <w:kern w:val="2"/>
                <w:sz w:val="22"/>
                <w:szCs w:val="22"/>
                <w:lang w:val="en-US" w:eastAsia="zh-CN" w:bidi="ar-SA"/>
              </w:rPr>
              <w:t>的得1分。</w:t>
            </w:r>
            <w:r>
              <w:rPr>
                <w:rFonts w:hint="eastAsia" w:hAnsi="宋体" w:cs="Times New Roman"/>
                <w:color w:val="auto"/>
                <w:kern w:val="2"/>
                <w:sz w:val="22"/>
                <w:szCs w:val="22"/>
                <w:lang w:val="en-US" w:eastAsia="zh-CN" w:bidi="ar-SA"/>
              </w:rPr>
              <w:t>具有环保或水利方面的项目质检员、安全员、材料员、施工员，每个得1分。</w:t>
            </w:r>
            <w:r>
              <w:rPr>
                <w:rFonts w:hint="eastAsia" w:ascii="Times New Roman" w:hAnsi="宋体" w:eastAsia="宋体" w:cs="Times New Roman"/>
                <w:color w:val="auto"/>
                <w:kern w:val="2"/>
                <w:sz w:val="22"/>
                <w:szCs w:val="22"/>
                <w:lang w:val="en-US" w:eastAsia="zh-CN" w:bidi="ar-SA"/>
              </w:rPr>
              <w:t>此项最多得</w:t>
            </w:r>
            <w:r>
              <w:rPr>
                <w:rFonts w:hint="eastAsia" w:hAnsi="宋体" w:cs="Times New Roman"/>
                <w:color w:val="auto"/>
                <w:kern w:val="2"/>
                <w:sz w:val="22"/>
                <w:szCs w:val="22"/>
                <w:lang w:val="en-US" w:eastAsia="zh-CN" w:bidi="ar-SA"/>
              </w:rPr>
              <w:t>5</w:t>
            </w:r>
            <w:r>
              <w:rPr>
                <w:rFonts w:hint="eastAsia" w:ascii="Times New Roman" w:hAnsi="宋体" w:eastAsia="宋体" w:cs="Times New Roman"/>
                <w:color w:val="auto"/>
                <w:kern w:val="2"/>
                <w:sz w:val="22"/>
                <w:szCs w:val="22"/>
                <w:lang w:val="en-US" w:eastAsia="zh-CN" w:bidi="ar-SA"/>
              </w:rPr>
              <w:t>分（一个人同时具有两个职称也只得1分）。</w:t>
            </w:r>
          </w:p>
          <w:p>
            <w:pPr>
              <w:pStyle w:val="9"/>
              <w:ind w:left="0" w:leftChars="0" w:firstLine="0" w:firstLineChars="0"/>
              <w:rPr>
                <w:rFonts w:hint="default" w:ascii="Times New Roman" w:hAnsi="宋体" w:eastAsia="宋体" w:cs="Times New Roman"/>
                <w:color w:val="auto"/>
                <w:kern w:val="2"/>
                <w:sz w:val="22"/>
                <w:szCs w:val="22"/>
                <w:lang w:val="en-US" w:eastAsia="zh-CN" w:bidi="ar-SA"/>
              </w:rPr>
            </w:pPr>
            <w:r>
              <w:rPr>
                <w:rFonts w:hint="default" w:ascii="Times New Roman" w:hAnsi="宋体" w:eastAsia="宋体" w:cs="Times New Roman"/>
                <w:color w:val="auto"/>
                <w:kern w:val="2"/>
                <w:sz w:val="22"/>
                <w:szCs w:val="22"/>
                <w:lang w:val="en-US" w:eastAsia="zh-CN" w:bidi="ar-SA"/>
              </w:rPr>
              <w:t>注：</w:t>
            </w:r>
            <w:r>
              <w:rPr>
                <w:rFonts w:hint="eastAsia" w:ascii="Times New Roman" w:hAnsi="宋体" w:eastAsia="宋体" w:cs="Times New Roman"/>
                <w:color w:val="auto"/>
                <w:kern w:val="2"/>
                <w:sz w:val="22"/>
                <w:szCs w:val="22"/>
                <w:lang w:val="en-US" w:eastAsia="zh-CN" w:bidi="ar-SA"/>
              </w:rPr>
              <w:t>提供相关职称证书复印件加盖公章及投标截止前近6个月内任意连续三个月</w:t>
            </w:r>
            <w:r>
              <w:rPr>
                <w:rFonts w:hint="default" w:ascii="Times New Roman" w:hAnsi="宋体" w:eastAsia="宋体" w:cs="Times New Roman"/>
                <w:color w:val="auto"/>
                <w:kern w:val="2"/>
                <w:sz w:val="22"/>
                <w:szCs w:val="22"/>
                <w:lang w:val="en-US" w:eastAsia="zh-CN" w:bidi="ar-SA"/>
              </w:rPr>
              <w:t>在投标单位缴纳</w:t>
            </w:r>
            <w:r>
              <w:rPr>
                <w:rFonts w:hint="eastAsia" w:ascii="Times New Roman" w:hAnsi="宋体" w:eastAsia="宋体" w:cs="Times New Roman"/>
                <w:color w:val="auto"/>
                <w:kern w:val="2"/>
                <w:sz w:val="22"/>
                <w:szCs w:val="22"/>
                <w:lang w:val="en-US" w:eastAsia="zh-CN" w:bidi="ar-SA"/>
              </w:rPr>
              <w:t>的社保证明材料复印件加盖公章，否则不得分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trPr>
        <w:tc>
          <w:tcPr>
            <w:tcW w:w="599" w:type="dxa"/>
            <w:vAlign w:val="center"/>
          </w:tcPr>
          <w:p>
            <w:pPr>
              <w:jc w:val="center"/>
              <w:rPr>
                <w:rFonts w:hint="eastAsia" w:ascii="Times New Roman" w:hAnsi="Times New Roman" w:eastAsia="宋体" w:cs="Times New Roman"/>
                <w:kern w:val="2"/>
                <w:sz w:val="22"/>
                <w:szCs w:val="22"/>
                <w:lang w:val="en-US" w:eastAsia="zh-CN" w:bidi="ar-SA"/>
              </w:rPr>
            </w:pPr>
            <w:r>
              <w:rPr>
                <w:rFonts w:hint="eastAsia"/>
                <w:sz w:val="22"/>
                <w:szCs w:val="22"/>
                <w:lang w:val="en-US" w:eastAsia="zh-CN"/>
              </w:rPr>
              <w:t>4</w:t>
            </w:r>
          </w:p>
        </w:tc>
        <w:tc>
          <w:tcPr>
            <w:tcW w:w="3304" w:type="dxa"/>
            <w:vAlign w:val="center"/>
          </w:tcPr>
          <w:p>
            <w:pPr>
              <w:jc w:val="center"/>
              <w:rPr>
                <w:rFonts w:hint="eastAsia" w:ascii="Times New Roman" w:hAnsi="宋体" w:eastAsia="宋体" w:cs="Times New Roman"/>
                <w:kern w:val="2"/>
                <w:sz w:val="22"/>
                <w:szCs w:val="22"/>
                <w:lang w:val="en-US" w:eastAsia="zh-CN" w:bidi="ar-SA"/>
              </w:rPr>
            </w:pPr>
            <w:r>
              <w:rPr>
                <w:rFonts w:hint="default" w:ascii="Times New Roman" w:hAnsi="宋体" w:eastAsia="宋体" w:cs="Times New Roman"/>
                <w:kern w:val="2"/>
                <w:sz w:val="22"/>
                <w:szCs w:val="22"/>
                <w:lang w:val="en-US" w:eastAsia="zh-CN" w:bidi="ar-SA"/>
              </w:rPr>
              <w:t>水质提升能力评定</w:t>
            </w:r>
          </w:p>
        </w:tc>
        <w:tc>
          <w:tcPr>
            <w:tcW w:w="1220" w:type="dxa"/>
            <w:vAlign w:val="center"/>
          </w:tcPr>
          <w:p>
            <w:pPr>
              <w:jc w:val="cente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w:t>
            </w:r>
            <w:r>
              <w:rPr>
                <w:rFonts w:hint="eastAsia" w:hAnsi="宋体" w:cs="Times New Roman"/>
                <w:color w:val="auto"/>
                <w:kern w:val="2"/>
                <w:sz w:val="22"/>
                <w:szCs w:val="22"/>
                <w:lang w:val="en-US" w:eastAsia="zh-CN" w:bidi="ar-SA"/>
              </w:rPr>
              <w:t>12</w:t>
            </w:r>
            <w:r>
              <w:rPr>
                <w:rFonts w:hint="eastAsia" w:ascii="Times New Roman" w:hAnsi="宋体" w:eastAsia="宋体" w:cs="Times New Roman"/>
                <w:color w:val="auto"/>
                <w:kern w:val="2"/>
                <w:sz w:val="22"/>
                <w:szCs w:val="22"/>
                <w:lang w:val="en-US" w:eastAsia="zh-CN" w:bidi="ar-SA"/>
              </w:rPr>
              <w:t>分</w:t>
            </w:r>
          </w:p>
        </w:tc>
        <w:tc>
          <w:tcPr>
            <w:tcW w:w="5335" w:type="dxa"/>
            <w:vAlign w:val="center"/>
          </w:tcPr>
          <w:p>
            <w:pPr>
              <w:spacing w:line="300" w:lineRule="exact"/>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投标人提供其已实施的河道生态治理项目的水质检测报告</w:t>
            </w:r>
            <w:r>
              <w:rPr>
                <w:rFonts w:hint="eastAsia" w:hAnsi="宋体" w:cs="Times New Roman"/>
                <w:color w:val="auto"/>
                <w:kern w:val="2"/>
                <w:sz w:val="22"/>
                <w:szCs w:val="22"/>
                <w:lang w:val="en-US" w:eastAsia="zh-CN" w:bidi="ar-SA"/>
              </w:rPr>
              <w:t>或检测数据</w:t>
            </w:r>
            <w:r>
              <w:rPr>
                <w:rFonts w:hint="eastAsia" w:ascii="Times New Roman" w:hAnsi="宋体" w:eastAsia="宋体" w:cs="Times New Roman"/>
                <w:color w:val="auto"/>
                <w:kern w:val="2"/>
                <w:sz w:val="22"/>
                <w:szCs w:val="22"/>
                <w:lang w:val="en-US" w:eastAsia="zh-CN" w:bidi="ar-SA"/>
              </w:rPr>
              <w:t>（检测报告</w:t>
            </w:r>
            <w:r>
              <w:rPr>
                <w:rFonts w:hint="eastAsia" w:hAnsi="宋体" w:cs="Times New Roman"/>
                <w:color w:val="auto"/>
                <w:kern w:val="2"/>
                <w:sz w:val="22"/>
                <w:szCs w:val="22"/>
                <w:lang w:val="en-US" w:eastAsia="zh-CN" w:bidi="ar-SA"/>
              </w:rPr>
              <w:t>或检测数据</w:t>
            </w:r>
            <w:r>
              <w:rPr>
                <w:rFonts w:hint="eastAsia" w:ascii="Times New Roman" w:hAnsi="宋体" w:eastAsia="宋体" w:cs="Times New Roman"/>
                <w:color w:val="auto"/>
                <w:kern w:val="2"/>
                <w:sz w:val="22"/>
                <w:szCs w:val="22"/>
                <w:lang w:val="en-US" w:eastAsia="zh-CN" w:bidi="ar-SA"/>
              </w:rPr>
              <w:t>须由环保相关部门出具，否则不予认可），连续六个月及以上的主要指标（溶解氧、高锰酸盐指数、氨氮、总磷、COD、透明度、PH值）平均值必须达到治理项目的治理标准（提供治理标准证明材料），每个得3分，同一个项目不重复得分，最高得</w:t>
            </w:r>
            <w:r>
              <w:rPr>
                <w:rFonts w:hint="eastAsia" w:hAnsi="宋体" w:cs="Times New Roman"/>
                <w:color w:val="auto"/>
                <w:kern w:val="2"/>
                <w:sz w:val="22"/>
                <w:szCs w:val="22"/>
                <w:lang w:val="en-US" w:eastAsia="zh-CN" w:bidi="ar-SA"/>
              </w:rPr>
              <w:t>12</w:t>
            </w:r>
            <w:r>
              <w:rPr>
                <w:rFonts w:hint="eastAsia" w:ascii="Times New Roman" w:hAnsi="宋体" w:eastAsia="宋体" w:cs="Times New Roman"/>
                <w:color w:val="auto"/>
                <w:kern w:val="2"/>
                <w:sz w:val="22"/>
                <w:szCs w:val="22"/>
                <w:lang w:val="en-US" w:eastAsia="zh-CN" w:bidi="ar-SA"/>
              </w:rPr>
              <w:t>分。</w:t>
            </w:r>
          </w:p>
          <w:p>
            <w:pP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注：</w:t>
            </w:r>
            <w:r>
              <w:rPr>
                <w:rFonts w:hint="eastAsia" w:hAnsi="宋体" w:cs="Times New Roman"/>
                <w:color w:val="auto"/>
                <w:kern w:val="2"/>
                <w:sz w:val="22"/>
                <w:szCs w:val="22"/>
                <w:lang w:val="en-US" w:eastAsia="zh-CN" w:bidi="ar-SA"/>
              </w:rPr>
              <w:t>1、</w:t>
            </w:r>
            <w:r>
              <w:rPr>
                <w:rFonts w:hint="default" w:ascii="Times New Roman" w:hAnsi="宋体" w:eastAsia="宋体" w:cs="Times New Roman"/>
                <w:color w:val="auto"/>
                <w:kern w:val="2"/>
                <w:sz w:val="22"/>
                <w:szCs w:val="22"/>
                <w:lang w:val="en-US" w:eastAsia="zh-CN" w:bidi="ar-SA"/>
              </w:rPr>
              <w:t>提供项目合同</w:t>
            </w:r>
            <w:r>
              <w:rPr>
                <w:rFonts w:hint="eastAsia" w:hAnsi="宋体" w:cs="Times New Roman"/>
                <w:color w:val="auto"/>
                <w:kern w:val="2"/>
                <w:sz w:val="22"/>
                <w:szCs w:val="22"/>
                <w:lang w:val="en-US" w:eastAsia="zh-CN" w:bidi="ar-SA"/>
              </w:rPr>
              <w:t>2、提供</w:t>
            </w:r>
            <w:r>
              <w:rPr>
                <w:rFonts w:hint="default" w:ascii="Times New Roman" w:hAnsi="宋体" w:eastAsia="宋体" w:cs="Times New Roman"/>
                <w:color w:val="auto"/>
                <w:kern w:val="2"/>
                <w:sz w:val="22"/>
                <w:szCs w:val="22"/>
                <w:lang w:val="en-US" w:eastAsia="zh-CN" w:bidi="ar-SA"/>
              </w:rPr>
              <w:t>水质检测报告</w:t>
            </w:r>
            <w:r>
              <w:rPr>
                <w:rFonts w:hint="eastAsia" w:hAnsi="宋体" w:cs="Times New Roman"/>
                <w:color w:val="auto"/>
                <w:kern w:val="2"/>
                <w:sz w:val="22"/>
                <w:szCs w:val="22"/>
                <w:lang w:val="en-US" w:eastAsia="zh-CN" w:bidi="ar-SA"/>
              </w:rPr>
              <w:t>或检测数据的证明材料3、上述资料提供</w:t>
            </w:r>
            <w:r>
              <w:rPr>
                <w:rFonts w:hint="eastAsia" w:ascii="Times New Roman" w:hAnsi="宋体" w:eastAsia="宋体" w:cs="Times New Roman"/>
                <w:color w:val="auto"/>
                <w:kern w:val="2"/>
                <w:sz w:val="22"/>
                <w:szCs w:val="22"/>
                <w:lang w:val="en-US" w:eastAsia="zh-CN" w:bidi="ar-SA"/>
              </w:rPr>
              <w:t>复印件加盖公章</w:t>
            </w:r>
            <w:r>
              <w:rPr>
                <w:rFonts w:hint="default" w:ascii="Times New Roman" w:hAnsi="宋体" w:eastAsia="宋体" w:cs="Times New Roman"/>
                <w:color w:val="auto"/>
                <w:kern w:val="2"/>
                <w:sz w:val="22"/>
                <w:szCs w:val="22"/>
                <w:lang w:val="en-US" w:eastAsia="zh-CN" w:bidi="ar-SA"/>
              </w:rPr>
              <w:t>，否则不予认可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trPr>
        <w:tc>
          <w:tcPr>
            <w:tcW w:w="599" w:type="dxa"/>
            <w:vMerge w:val="restart"/>
            <w:vAlign w:val="center"/>
          </w:tcPr>
          <w:p>
            <w:pPr>
              <w:pStyle w:val="16"/>
              <w:adjustRightInd w:val="0"/>
              <w:snapToGrid w:val="0"/>
              <w:spacing w:line="300" w:lineRule="exact"/>
              <w:jc w:val="center"/>
              <w:rPr>
                <w:rFonts w:hint="eastAsia" w:ascii="Times New Roman" w:hAnsi="Times New Roman" w:eastAsia="宋体"/>
                <w:sz w:val="22"/>
                <w:szCs w:val="22"/>
                <w:lang w:val="en-US" w:eastAsia="zh-CN"/>
              </w:rPr>
            </w:pPr>
            <w:r>
              <w:rPr>
                <w:rFonts w:hint="eastAsia" w:ascii="Times New Roman" w:hAnsi="Times New Roman"/>
                <w:sz w:val="22"/>
                <w:szCs w:val="22"/>
                <w:lang w:val="en-US" w:eastAsia="zh-CN"/>
              </w:rPr>
              <w:t>5</w:t>
            </w:r>
          </w:p>
        </w:tc>
        <w:tc>
          <w:tcPr>
            <w:tcW w:w="3304" w:type="dxa"/>
            <w:vMerge w:val="restart"/>
            <w:vAlign w:val="center"/>
          </w:tcPr>
          <w:p>
            <w:pPr>
              <w:pStyle w:val="16"/>
              <w:adjustRightInd w:val="0"/>
              <w:snapToGrid w:val="0"/>
              <w:spacing w:line="300" w:lineRule="exact"/>
              <w:jc w:val="center"/>
              <w:rPr>
                <w:rFonts w:hint="default" w:ascii="Times New Roman" w:hAnsi="宋体" w:eastAsia="宋体" w:cs="Times New Roman"/>
                <w:kern w:val="2"/>
                <w:sz w:val="22"/>
                <w:szCs w:val="22"/>
                <w:lang w:val="en-US" w:eastAsia="zh-CN" w:bidi="ar-SA"/>
              </w:rPr>
            </w:pPr>
            <w:r>
              <w:rPr>
                <w:rFonts w:hint="eastAsia" w:ascii="Times New Roman" w:hAnsi="宋体" w:eastAsia="宋体" w:cs="Times New Roman"/>
                <w:kern w:val="2"/>
                <w:sz w:val="22"/>
                <w:szCs w:val="22"/>
                <w:lang w:val="en-US" w:eastAsia="zh-CN" w:bidi="ar-SA"/>
              </w:rPr>
              <w:t>项目实施方案</w:t>
            </w:r>
          </w:p>
        </w:tc>
        <w:tc>
          <w:tcPr>
            <w:tcW w:w="1220" w:type="dxa"/>
            <w:vAlign w:val="center"/>
          </w:tcPr>
          <w:p>
            <w:pPr>
              <w:jc w:val="cente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w:t>
            </w:r>
            <w:r>
              <w:rPr>
                <w:rFonts w:hint="eastAsia" w:hAnsi="宋体" w:cs="Times New Roman"/>
                <w:color w:val="auto"/>
                <w:kern w:val="2"/>
                <w:sz w:val="22"/>
                <w:szCs w:val="22"/>
                <w:lang w:val="en-US" w:eastAsia="zh-CN" w:bidi="ar-SA"/>
              </w:rPr>
              <w:t>8</w:t>
            </w:r>
            <w:r>
              <w:rPr>
                <w:rFonts w:hint="eastAsia" w:ascii="Times New Roman" w:hAnsi="宋体" w:eastAsia="宋体" w:cs="Times New Roman"/>
                <w:color w:val="auto"/>
                <w:kern w:val="2"/>
                <w:sz w:val="22"/>
                <w:szCs w:val="22"/>
                <w:lang w:val="en-US" w:eastAsia="zh-CN" w:bidi="ar-SA"/>
              </w:rPr>
              <w:t>分</w:t>
            </w:r>
          </w:p>
        </w:tc>
        <w:tc>
          <w:tcPr>
            <w:tcW w:w="5335" w:type="dxa"/>
            <w:vAlign w:val="center"/>
          </w:tcPr>
          <w:p>
            <w:pPr>
              <w:pStyle w:val="16"/>
              <w:adjustRightInd w:val="0"/>
              <w:snapToGrid w:val="0"/>
              <w:spacing w:line="300" w:lineRule="exact"/>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根据各投标供应商提出的针对本项目站位水质现状（含水质、污染源、护岸、生态现状等）的调查分析的针对性、明确性，进行打分。</w:t>
            </w:r>
          </w:p>
          <w:p>
            <w:pPr>
              <w:pStyle w:val="16"/>
              <w:adjustRightInd w:val="0"/>
              <w:snapToGrid w:val="0"/>
              <w:spacing w:line="300" w:lineRule="exact"/>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分析完全明确：</w:t>
            </w:r>
            <w:r>
              <w:rPr>
                <w:rFonts w:hint="eastAsia" w:ascii="Times New Roman"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.1-</w:t>
            </w:r>
            <w:r>
              <w:rPr>
                <w:rFonts w:hint="eastAsia" w:ascii="Times New Roman" w:hAnsi="宋体" w:cs="Times New Roman"/>
                <w:color w:val="auto"/>
                <w:kern w:val="2"/>
                <w:sz w:val="22"/>
                <w:szCs w:val="22"/>
                <w:lang w:val="en-US" w:eastAsia="zh-CN" w:bidi="ar-SA"/>
              </w:rPr>
              <w:t>8</w:t>
            </w:r>
            <w:r>
              <w:rPr>
                <w:rFonts w:hint="eastAsia" w:ascii="Times New Roman" w:hAnsi="宋体" w:eastAsia="宋体" w:cs="Times New Roman"/>
                <w:color w:val="auto"/>
                <w:kern w:val="2"/>
                <w:sz w:val="22"/>
                <w:szCs w:val="22"/>
                <w:lang w:val="en-US" w:eastAsia="zh-CN" w:bidi="ar-SA"/>
              </w:rPr>
              <w:t>分；分析基本明确：</w:t>
            </w:r>
            <w:r>
              <w:rPr>
                <w:rFonts w:hint="eastAsia" w:ascii="Times New Roman"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.1-</w:t>
            </w:r>
            <w:r>
              <w:rPr>
                <w:rFonts w:hint="eastAsia" w:ascii="Times New Roman"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分；分析部分明确：0-</w:t>
            </w:r>
            <w:r>
              <w:rPr>
                <w:rFonts w:hint="eastAsia" w:ascii="Times New Roman"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trPr>
        <w:tc>
          <w:tcPr>
            <w:tcW w:w="599" w:type="dxa"/>
            <w:vMerge w:val="continue"/>
            <w:vAlign w:val="center"/>
          </w:tcPr>
          <w:p>
            <w:pPr>
              <w:pStyle w:val="16"/>
              <w:adjustRightInd w:val="0"/>
              <w:snapToGrid w:val="0"/>
              <w:spacing w:line="300" w:lineRule="exact"/>
              <w:jc w:val="center"/>
              <w:rPr>
                <w:rFonts w:ascii="Times New Roman" w:hAnsi="Times New Roman"/>
                <w:sz w:val="22"/>
                <w:szCs w:val="22"/>
              </w:rPr>
            </w:pPr>
          </w:p>
        </w:tc>
        <w:tc>
          <w:tcPr>
            <w:tcW w:w="3304" w:type="dxa"/>
            <w:vMerge w:val="continue"/>
            <w:vAlign w:val="center"/>
          </w:tcPr>
          <w:p>
            <w:pPr>
              <w:pStyle w:val="16"/>
              <w:adjustRightInd w:val="0"/>
              <w:snapToGrid w:val="0"/>
              <w:spacing w:line="300" w:lineRule="exact"/>
              <w:jc w:val="center"/>
              <w:rPr>
                <w:rFonts w:hint="eastAsia" w:ascii="Times New Roman" w:hAnsi="宋体" w:eastAsia="宋体" w:cs="Times New Roman"/>
                <w:kern w:val="2"/>
                <w:sz w:val="22"/>
                <w:szCs w:val="22"/>
                <w:lang w:val="en-US" w:eastAsia="zh-CN" w:bidi="ar-SA"/>
              </w:rPr>
            </w:pPr>
          </w:p>
        </w:tc>
        <w:tc>
          <w:tcPr>
            <w:tcW w:w="1220" w:type="dxa"/>
            <w:vAlign w:val="center"/>
          </w:tcPr>
          <w:p>
            <w:pPr>
              <w:jc w:val="cente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w:t>
            </w:r>
            <w:r>
              <w:rPr>
                <w:rFonts w:hint="eastAsia" w:hAnsi="宋体" w:cs="Times New Roman"/>
                <w:color w:val="auto"/>
                <w:kern w:val="2"/>
                <w:sz w:val="22"/>
                <w:szCs w:val="22"/>
                <w:lang w:val="en-US" w:eastAsia="zh-CN" w:bidi="ar-SA"/>
              </w:rPr>
              <w:t>8</w:t>
            </w:r>
            <w:r>
              <w:rPr>
                <w:rFonts w:hint="eastAsia" w:ascii="Times New Roman" w:hAnsi="宋体" w:eastAsia="宋体" w:cs="Times New Roman"/>
                <w:color w:val="auto"/>
                <w:kern w:val="2"/>
                <w:sz w:val="22"/>
                <w:szCs w:val="22"/>
                <w:lang w:val="en-US" w:eastAsia="zh-CN" w:bidi="ar-SA"/>
              </w:rPr>
              <w:t>分</w:t>
            </w:r>
          </w:p>
        </w:tc>
        <w:tc>
          <w:tcPr>
            <w:tcW w:w="5335" w:type="dxa"/>
            <w:vAlign w:val="center"/>
          </w:tcPr>
          <w:p>
            <w:pPr>
              <w:pStyle w:val="16"/>
              <w:adjustRightInd w:val="0"/>
              <w:snapToGrid w:val="0"/>
              <w:spacing w:line="300" w:lineRule="exact"/>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根据各投标供应商提出的针对本项目水质提升与水质稳定服务的重点难点提出的解决方案是否科学可行，进行打分。</w:t>
            </w:r>
          </w:p>
          <w:p>
            <w:pPr>
              <w:pStyle w:val="16"/>
              <w:adjustRightInd w:val="0"/>
              <w:snapToGrid w:val="0"/>
              <w:spacing w:line="300" w:lineRule="exact"/>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解决方案完全满足采购需求：</w:t>
            </w:r>
            <w:r>
              <w:rPr>
                <w:rFonts w:hint="eastAsia" w:ascii="Times New Roman"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.1-</w:t>
            </w:r>
            <w:r>
              <w:rPr>
                <w:rFonts w:hint="eastAsia" w:ascii="Times New Roman" w:hAnsi="宋体" w:cs="Times New Roman"/>
                <w:color w:val="auto"/>
                <w:kern w:val="2"/>
                <w:sz w:val="22"/>
                <w:szCs w:val="22"/>
                <w:lang w:val="en-US" w:eastAsia="zh-CN" w:bidi="ar-SA"/>
              </w:rPr>
              <w:t>8</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ascii="Times New Roman"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.1-</w:t>
            </w:r>
            <w:r>
              <w:rPr>
                <w:rFonts w:hint="eastAsia" w:ascii="Times New Roman"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ascii="Times New Roman"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0" w:hRule="atLeast"/>
        </w:trPr>
        <w:tc>
          <w:tcPr>
            <w:tcW w:w="599" w:type="dxa"/>
            <w:vMerge w:val="continue"/>
            <w:vAlign w:val="center"/>
          </w:tcPr>
          <w:p>
            <w:pPr>
              <w:pStyle w:val="16"/>
              <w:adjustRightInd w:val="0"/>
              <w:snapToGrid w:val="0"/>
              <w:spacing w:line="300" w:lineRule="exact"/>
              <w:jc w:val="center"/>
              <w:rPr>
                <w:rFonts w:hint="eastAsia" w:ascii="Times New Roman" w:hAnsi="Times New Roman" w:eastAsia="宋体"/>
                <w:sz w:val="22"/>
                <w:szCs w:val="22"/>
                <w:lang w:val="en-US" w:eastAsia="zh-CN"/>
              </w:rPr>
            </w:pPr>
          </w:p>
        </w:tc>
        <w:tc>
          <w:tcPr>
            <w:tcW w:w="3304" w:type="dxa"/>
            <w:vMerge w:val="continue"/>
            <w:vAlign w:val="center"/>
          </w:tcPr>
          <w:p>
            <w:pPr>
              <w:pStyle w:val="16"/>
              <w:adjustRightInd w:val="0"/>
              <w:snapToGrid w:val="0"/>
              <w:spacing w:line="300" w:lineRule="exact"/>
              <w:jc w:val="center"/>
              <w:rPr>
                <w:rFonts w:hint="eastAsia" w:ascii="Times New Roman" w:hAnsi="宋体" w:eastAsia="宋体" w:cs="Times New Roman"/>
                <w:kern w:val="2"/>
                <w:sz w:val="22"/>
                <w:szCs w:val="22"/>
                <w:lang w:val="en-US" w:eastAsia="zh-CN" w:bidi="ar-SA"/>
              </w:rPr>
            </w:pPr>
          </w:p>
        </w:tc>
        <w:tc>
          <w:tcPr>
            <w:tcW w:w="1220" w:type="dxa"/>
            <w:vAlign w:val="center"/>
          </w:tcPr>
          <w:p>
            <w:pPr>
              <w:jc w:val="cente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w:t>
            </w:r>
            <w:r>
              <w:rPr>
                <w:rFonts w:hint="eastAsia" w:hAnsi="宋体" w:cs="Times New Roman"/>
                <w:color w:val="auto"/>
                <w:kern w:val="2"/>
                <w:sz w:val="22"/>
                <w:szCs w:val="22"/>
                <w:lang w:val="en-US" w:eastAsia="zh-CN" w:bidi="ar-SA"/>
              </w:rPr>
              <w:t>8</w:t>
            </w:r>
            <w:r>
              <w:rPr>
                <w:rFonts w:hint="eastAsia" w:ascii="Times New Roman" w:hAnsi="宋体" w:eastAsia="宋体" w:cs="Times New Roman"/>
                <w:color w:val="auto"/>
                <w:kern w:val="2"/>
                <w:sz w:val="22"/>
                <w:szCs w:val="22"/>
                <w:lang w:val="en-US" w:eastAsia="zh-CN" w:bidi="ar-SA"/>
              </w:rPr>
              <w:t>分</w:t>
            </w:r>
          </w:p>
          <w:p>
            <w:pPr>
              <w:jc w:val="center"/>
              <w:rPr>
                <w:rFonts w:hint="eastAsia" w:ascii="Times New Roman" w:hAnsi="宋体" w:eastAsia="宋体" w:cs="Times New Roman"/>
                <w:color w:val="auto"/>
                <w:kern w:val="2"/>
                <w:sz w:val="22"/>
                <w:szCs w:val="22"/>
                <w:lang w:val="en-US" w:eastAsia="zh-CN" w:bidi="ar-SA"/>
              </w:rPr>
            </w:pPr>
          </w:p>
        </w:tc>
        <w:tc>
          <w:tcPr>
            <w:tcW w:w="5335" w:type="dxa"/>
            <w:vAlign w:val="center"/>
          </w:tcPr>
          <w:p>
            <w:pPr>
              <w:pStyle w:val="16"/>
              <w:adjustRightInd w:val="0"/>
              <w:snapToGrid w:val="0"/>
              <w:spacing w:line="300" w:lineRule="exact"/>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根据各投标供应商提出的治理方案设计依据，设计原则，设计思路、原理，设计技术方案，技术工艺、流程、治理目标等是否科学、全面、且针对性强进行打分。</w:t>
            </w:r>
          </w:p>
          <w:p>
            <w:pPr>
              <w:pStyle w:val="17"/>
              <w:ind w:left="0" w:leftChars="0" w:firstLine="0" w:firstLineChars="0"/>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8</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99" w:type="dxa"/>
            <w:vMerge w:val="continue"/>
            <w:vAlign w:val="center"/>
          </w:tcPr>
          <w:p>
            <w:pPr>
              <w:pStyle w:val="16"/>
              <w:adjustRightInd w:val="0"/>
              <w:snapToGrid w:val="0"/>
              <w:spacing w:line="300" w:lineRule="exact"/>
              <w:jc w:val="center"/>
              <w:rPr>
                <w:rFonts w:ascii="Times New Roman" w:hAnsi="Times New Roman"/>
                <w:sz w:val="22"/>
                <w:szCs w:val="22"/>
              </w:rPr>
            </w:pPr>
          </w:p>
        </w:tc>
        <w:tc>
          <w:tcPr>
            <w:tcW w:w="3304" w:type="dxa"/>
            <w:vMerge w:val="continue"/>
            <w:vAlign w:val="center"/>
          </w:tcPr>
          <w:p>
            <w:pPr>
              <w:pStyle w:val="16"/>
              <w:adjustRightInd w:val="0"/>
              <w:snapToGrid w:val="0"/>
              <w:spacing w:line="300" w:lineRule="exact"/>
              <w:jc w:val="center"/>
              <w:rPr>
                <w:rFonts w:hint="eastAsia" w:ascii="Times New Roman" w:hAnsi="宋体" w:eastAsia="宋体" w:cs="Times New Roman"/>
                <w:kern w:val="2"/>
                <w:sz w:val="22"/>
                <w:szCs w:val="22"/>
                <w:lang w:val="en-US" w:eastAsia="zh-CN" w:bidi="ar-SA"/>
              </w:rPr>
            </w:pPr>
          </w:p>
        </w:tc>
        <w:tc>
          <w:tcPr>
            <w:tcW w:w="1220" w:type="dxa"/>
            <w:vAlign w:val="center"/>
          </w:tcPr>
          <w:p>
            <w:pPr>
              <w:jc w:val="cente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0-7分</w:t>
            </w:r>
          </w:p>
        </w:tc>
        <w:tc>
          <w:tcPr>
            <w:tcW w:w="5335" w:type="dxa"/>
            <w:vAlign w:val="center"/>
          </w:tcPr>
          <w:p>
            <w:pPr>
              <w:rPr>
                <w:rFonts w:hint="default"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根据各投标供应商提出的</w:t>
            </w:r>
            <w:r>
              <w:rPr>
                <w:rFonts w:hint="default" w:ascii="Times New Roman" w:hAnsi="宋体" w:eastAsia="宋体" w:cs="Times New Roman"/>
                <w:color w:val="auto"/>
                <w:kern w:val="2"/>
                <w:sz w:val="22"/>
                <w:szCs w:val="22"/>
                <w:lang w:val="en-US" w:eastAsia="zh-CN" w:bidi="ar-SA"/>
              </w:rPr>
              <w:t>项目</w:t>
            </w:r>
            <w:r>
              <w:rPr>
                <w:rFonts w:hint="eastAsia" w:ascii="Times New Roman" w:hAnsi="宋体" w:eastAsia="宋体" w:cs="Times New Roman"/>
                <w:color w:val="auto"/>
                <w:kern w:val="2"/>
                <w:sz w:val="22"/>
                <w:szCs w:val="22"/>
                <w:lang w:val="en-US" w:eastAsia="zh-CN" w:bidi="ar-SA"/>
              </w:rPr>
              <w:t>实施</w:t>
            </w:r>
            <w:r>
              <w:rPr>
                <w:rFonts w:hint="default" w:ascii="Times New Roman" w:hAnsi="宋体" w:eastAsia="宋体" w:cs="Times New Roman"/>
                <w:color w:val="auto"/>
                <w:kern w:val="2"/>
                <w:sz w:val="22"/>
                <w:szCs w:val="22"/>
                <w:lang w:val="en-US" w:eastAsia="zh-CN" w:bidi="ar-SA"/>
              </w:rPr>
              <w:t>方案实用性和可操作性</w:t>
            </w:r>
            <w:r>
              <w:rPr>
                <w:rFonts w:hint="eastAsia" w:ascii="Times New Roman" w:hAnsi="宋体" w:eastAsia="宋体" w:cs="Times New Roman"/>
                <w:color w:val="auto"/>
                <w:kern w:val="2"/>
                <w:sz w:val="22"/>
                <w:szCs w:val="22"/>
                <w:lang w:val="en-US" w:eastAsia="zh-CN" w:bidi="ar-SA"/>
              </w:rPr>
              <w:t>，</w:t>
            </w:r>
            <w:r>
              <w:rPr>
                <w:rFonts w:hint="default" w:ascii="Times New Roman" w:hAnsi="宋体" w:eastAsia="宋体" w:cs="Times New Roman"/>
                <w:color w:val="auto"/>
                <w:kern w:val="2"/>
                <w:sz w:val="22"/>
                <w:szCs w:val="22"/>
                <w:lang w:val="en-US" w:eastAsia="zh-CN" w:bidi="ar-SA"/>
              </w:rPr>
              <w:t>组织分工</w:t>
            </w:r>
            <w:r>
              <w:rPr>
                <w:rFonts w:hint="eastAsia" w:ascii="Times New Roman" w:hAnsi="宋体" w:eastAsia="宋体" w:cs="Times New Roman"/>
                <w:color w:val="auto"/>
                <w:kern w:val="2"/>
                <w:sz w:val="22"/>
                <w:szCs w:val="22"/>
                <w:lang w:val="en-US" w:eastAsia="zh-CN" w:bidi="ar-SA"/>
              </w:rPr>
              <w:t>是否</w:t>
            </w:r>
            <w:r>
              <w:rPr>
                <w:rFonts w:hint="default" w:ascii="Times New Roman" w:hAnsi="宋体" w:eastAsia="宋体" w:cs="Times New Roman"/>
                <w:color w:val="auto"/>
                <w:kern w:val="2"/>
                <w:sz w:val="22"/>
                <w:szCs w:val="22"/>
                <w:lang w:val="en-US" w:eastAsia="zh-CN" w:bidi="ar-SA"/>
              </w:rPr>
              <w:t>明确</w:t>
            </w:r>
            <w:r>
              <w:rPr>
                <w:rFonts w:hint="eastAsia" w:ascii="Times New Roman" w:hAnsi="宋体" w:eastAsia="宋体" w:cs="Times New Roman"/>
                <w:color w:val="auto"/>
                <w:kern w:val="2"/>
                <w:sz w:val="22"/>
                <w:szCs w:val="22"/>
                <w:lang w:val="en-US" w:eastAsia="zh-CN" w:bidi="ar-SA"/>
              </w:rPr>
              <w:t>，</w:t>
            </w:r>
            <w:r>
              <w:rPr>
                <w:rFonts w:hint="default" w:ascii="Times New Roman" w:hAnsi="宋体" w:eastAsia="宋体" w:cs="Times New Roman"/>
                <w:color w:val="auto"/>
                <w:kern w:val="2"/>
                <w:sz w:val="22"/>
                <w:szCs w:val="22"/>
                <w:lang w:val="en-US" w:eastAsia="zh-CN" w:bidi="ar-SA"/>
              </w:rPr>
              <w:t>施工步骤</w:t>
            </w:r>
            <w:r>
              <w:rPr>
                <w:rFonts w:hint="eastAsia" w:ascii="Times New Roman" w:hAnsi="宋体" w:eastAsia="宋体" w:cs="Times New Roman"/>
                <w:color w:val="auto"/>
                <w:kern w:val="2"/>
                <w:sz w:val="22"/>
                <w:szCs w:val="22"/>
                <w:lang w:val="en-US" w:eastAsia="zh-CN" w:bidi="ar-SA"/>
              </w:rPr>
              <w:t>是否</w:t>
            </w:r>
            <w:r>
              <w:rPr>
                <w:rFonts w:hint="default" w:ascii="Times New Roman" w:hAnsi="宋体" w:eastAsia="宋体" w:cs="Times New Roman"/>
                <w:color w:val="auto"/>
                <w:kern w:val="2"/>
                <w:sz w:val="22"/>
                <w:szCs w:val="22"/>
                <w:lang w:val="en-US" w:eastAsia="zh-CN" w:bidi="ar-SA"/>
              </w:rPr>
              <w:t>清晰、详细周全</w:t>
            </w:r>
            <w:r>
              <w:rPr>
                <w:rFonts w:hint="eastAsia" w:ascii="Times New Roman" w:hAnsi="宋体" w:eastAsia="宋体" w:cs="Times New Roman"/>
                <w:color w:val="auto"/>
                <w:kern w:val="2"/>
                <w:sz w:val="22"/>
                <w:szCs w:val="22"/>
                <w:lang w:val="en-US" w:eastAsia="zh-CN" w:bidi="ar-SA"/>
              </w:rPr>
              <w:t>，整体</w:t>
            </w:r>
            <w:r>
              <w:rPr>
                <w:rFonts w:hint="default" w:ascii="Times New Roman" w:hAnsi="宋体" w:eastAsia="宋体" w:cs="Times New Roman"/>
                <w:color w:val="auto"/>
                <w:kern w:val="2"/>
                <w:sz w:val="22"/>
                <w:szCs w:val="22"/>
                <w:lang w:val="en-US" w:eastAsia="zh-CN" w:bidi="ar-SA"/>
              </w:rPr>
              <w:t>进度安排</w:t>
            </w:r>
            <w:r>
              <w:rPr>
                <w:rFonts w:hint="eastAsia" w:ascii="Times New Roman" w:hAnsi="宋体" w:eastAsia="宋体" w:cs="Times New Roman"/>
                <w:color w:val="auto"/>
                <w:kern w:val="2"/>
                <w:sz w:val="22"/>
                <w:szCs w:val="22"/>
                <w:lang w:val="en-US" w:eastAsia="zh-CN" w:bidi="ar-SA"/>
              </w:rPr>
              <w:t>是否</w:t>
            </w:r>
            <w:r>
              <w:rPr>
                <w:rFonts w:hint="default" w:ascii="Times New Roman" w:hAnsi="宋体" w:eastAsia="宋体" w:cs="Times New Roman"/>
                <w:color w:val="auto"/>
                <w:kern w:val="2"/>
                <w:sz w:val="22"/>
                <w:szCs w:val="22"/>
                <w:lang w:val="en-US" w:eastAsia="zh-CN" w:bidi="ar-SA"/>
              </w:rPr>
              <w:t>合理</w:t>
            </w:r>
            <w:r>
              <w:rPr>
                <w:rFonts w:hint="eastAsia" w:ascii="Times New Roman" w:hAnsi="宋体" w:eastAsia="宋体" w:cs="Times New Roman"/>
                <w:color w:val="auto"/>
                <w:kern w:val="2"/>
                <w:sz w:val="22"/>
                <w:szCs w:val="22"/>
                <w:lang w:val="en-US" w:eastAsia="zh-CN" w:bidi="ar-SA"/>
              </w:rPr>
              <w:t>，</w:t>
            </w:r>
            <w:r>
              <w:rPr>
                <w:rFonts w:hint="default" w:ascii="Times New Roman" w:hAnsi="宋体" w:eastAsia="宋体" w:cs="Times New Roman"/>
                <w:color w:val="auto"/>
                <w:kern w:val="2"/>
                <w:sz w:val="22"/>
                <w:szCs w:val="22"/>
                <w:lang w:val="en-US" w:eastAsia="zh-CN" w:bidi="ar-SA"/>
              </w:rPr>
              <w:t>施工安全文明、质量保证措施</w:t>
            </w:r>
            <w:r>
              <w:rPr>
                <w:rFonts w:hint="eastAsia" w:ascii="Times New Roman" w:hAnsi="宋体" w:eastAsia="宋体" w:cs="Times New Roman"/>
                <w:color w:val="auto"/>
                <w:kern w:val="2"/>
                <w:sz w:val="22"/>
                <w:szCs w:val="22"/>
                <w:lang w:val="en-US" w:eastAsia="zh-CN" w:bidi="ar-SA"/>
              </w:rPr>
              <w:t>是否到位等情况进行打分</w:t>
            </w:r>
            <w:r>
              <w:rPr>
                <w:rFonts w:hint="default" w:ascii="Times New Roman" w:hAnsi="宋体" w:eastAsia="宋体" w:cs="Times New Roman"/>
                <w:color w:val="auto"/>
                <w:kern w:val="2"/>
                <w:sz w:val="22"/>
                <w:szCs w:val="22"/>
                <w:lang w:val="en-US" w:eastAsia="zh-CN" w:bidi="ar-SA"/>
              </w:rPr>
              <w:t>。</w:t>
            </w:r>
          </w:p>
          <w:p>
            <w:pPr>
              <w:pStyle w:val="16"/>
              <w:adjustRightInd w:val="0"/>
              <w:snapToGrid w:val="0"/>
              <w:spacing w:line="300" w:lineRule="exact"/>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完全满足采购需求：4.1-7分；解决方案基本满足采购需求：2.1-4分；解决方案部分满足采购需求：0-2分。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4" w:hRule="atLeast"/>
        </w:trPr>
        <w:tc>
          <w:tcPr>
            <w:tcW w:w="599" w:type="dxa"/>
            <w:vMerge w:val="continue"/>
            <w:vAlign w:val="center"/>
          </w:tcPr>
          <w:p>
            <w:pPr>
              <w:pStyle w:val="16"/>
              <w:adjustRightInd w:val="0"/>
              <w:snapToGrid w:val="0"/>
              <w:spacing w:line="300" w:lineRule="exact"/>
              <w:jc w:val="center"/>
              <w:rPr>
                <w:rFonts w:ascii="Times New Roman" w:hAnsi="Times New Roman"/>
                <w:sz w:val="22"/>
                <w:szCs w:val="22"/>
              </w:rPr>
            </w:pPr>
          </w:p>
        </w:tc>
        <w:tc>
          <w:tcPr>
            <w:tcW w:w="3304" w:type="dxa"/>
            <w:vMerge w:val="continue"/>
            <w:vAlign w:val="center"/>
          </w:tcPr>
          <w:p>
            <w:pPr>
              <w:pStyle w:val="16"/>
              <w:adjustRightInd w:val="0"/>
              <w:snapToGrid w:val="0"/>
              <w:spacing w:line="300" w:lineRule="exact"/>
              <w:jc w:val="center"/>
              <w:rPr>
                <w:rFonts w:hint="eastAsia" w:ascii="Times New Roman" w:hAnsi="宋体" w:eastAsia="宋体" w:cs="Times New Roman"/>
                <w:kern w:val="2"/>
                <w:sz w:val="22"/>
                <w:szCs w:val="22"/>
                <w:lang w:val="en-US" w:eastAsia="zh-CN" w:bidi="ar-SA"/>
              </w:rPr>
            </w:pPr>
          </w:p>
        </w:tc>
        <w:tc>
          <w:tcPr>
            <w:tcW w:w="1220" w:type="dxa"/>
            <w:vAlign w:val="center"/>
          </w:tcPr>
          <w:p>
            <w:pPr>
              <w:jc w:val="cente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w:t>
            </w:r>
            <w:r>
              <w:rPr>
                <w:rFonts w:hint="eastAsia" w:hAnsi="宋体" w:cs="Times New Roman"/>
                <w:color w:val="auto"/>
                <w:kern w:val="2"/>
                <w:sz w:val="22"/>
                <w:szCs w:val="22"/>
                <w:lang w:val="en-US" w:eastAsia="zh-CN" w:bidi="ar-SA"/>
              </w:rPr>
              <w:t>5</w:t>
            </w:r>
            <w:r>
              <w:rPr>
                <w:rFonts w:hint="eastAsia" w:ascii="Times New Roman" w:hAnsi="宋体" w:eastAsia="宋体" w:cs="Times New Roman"/>
                <w:color w:val="auto"/>
                <w:kern w:val="2"/>
                <w:sz w:val="22"/>
                <w:szCs w:val="22"/>
                <w:lang w:val="en-US" w:eastAsia="zh-CN" w:bidi="ar-SA"/>
              </w:rPr>
              <w:t>分</w:t>
            </w:r>
          </w:p>
          <w:p>
            <w:pPr>
              <w:jc w:val="center"/>
              <w:rPr>
                <w:rFonts w:hint="eastAsia" w:ascii="Times New Roman" w:hAnsi="宋体" w:eastAsia="宋体" w:cs="Times New Roman"/>
                <w:color w:val="auto"/>
                <w:kern w:val="2"/>
                <w:sz w:val="22"/>
                <w:szCs w:val="22"/>
                <w:lang w:val="en-US" w:eastAsia="zh-CN" w:bidi="ar-SA"/>
              </w:rPr>
            </w:pPr>
          </w:p>
        </w:tc>
        <w:tc>
          <w:tcPr>
            <w:tcW w:w="5335" w:type="dxa"/>
            <w:vAlign w:val="center"/>
          </w:tcPr>
          <w:p>
            <w:pPr>
              <w:pStyle w:val="16"/>
              <w:adjustRightInd w:val="0"/>
              <w:snapToGrid w:val="0"/>
              <w:spacing w:line="300" w:lineRule="exact"/>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根据各投标供应商承诺对本项目提供的设备的数量及种类是否全面、科学、高效进行打分。</w:t>
            </w:r>
          </w:p>
          <w:p>
            <w:pPr>
              <w:pStyle w:val="17"/>
              <w:ind w:left="0" w:leftChars="0" w:firstLine="0" w:firstLineChars="0"/>
              <w:rPr>
                <w:rFonts w:hint="default"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5</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8" w:hRule="atLeast"/>
        </w:trPr>
        <w:tc>
          <w:tcPr>
            <w:tcW w:w="599" w:type="dxa"/>
            <w:vAlign w:val="center"/>
          </w:tcPr>
          <w:p>
            <w:pPr>
              <w:pStyle w:val="16"/>
              <w:adjustRightInd w:val="0"/>
              <w:snapToGrid w:val="0"/>
              <w:spacing w:line="300" w:lineRule="exact"/>
              <w:jc w:val="center"/>
              <w:rPr>
                <w:rFonts w:hint="default" w:ascii="Times New Roman" w:hAnsi="Times New Roman"/>
                <w:sz w:val="22"/>
                <w:szCs w:val="22"/>
                <w:lang w:val="en-US" w:eastAsia="zh-CN"/>
              </w:rPr>
            </w:pPr>
            <w:r>
              <w:rPr>
                <w:rFonts w:hint="eastAsia" w:ascii="Times New Roman" w:hAnsi="Times New Roman"/>
                <w:sz w:val="22"/>
                <w:szCs w:val="22"/>
                <w:lang w:val="en-US" w:eastAsia="zh-CN"/>
              </w:rPr>
              <w:t>6</w:t>
            </w:r>
          </w:p>
        </w:tc>
        <w:tc>
          <w:tcPr>
            <w:tcW w:w="3304" w:type="dxa"/>
            <w:vAlign w:val="center"/>
          </w:tcPr>
          <w:p>
            <w:pPr>
              <w:pStyle w:val="16"/>
              <w:adjustRightInd w:val="0"/>
              <w:snapToGrid w:val="0"/>
              <w:spacing w:line="300" w:lineRule="exact"/>
              <w:jc w:val="center"/>
              <w:rPr>
                <w:rFonts w:hint="eastAsia" w:ascii="Times New Roman" w:hAnsi="Times New Roman" w:eastAsia="宋体" w:cs="Times New Roman"/>
                <w:kern w:val="2"/>
                <w:sz w:val="22"/>
                <w:szCs w:val="22"/>
                <w:lang w:val="en-US" w:eastAsia="zh-CN" w:bidi="ar-SA"/>
              </w:rPr>
            </w:pPr>
            <w:r>
              <w:rPr>
                <w:rFonts w:hint="eastAsia" w:asciiTheme="minorEastAsia" w:hAnsiTheme="minorEastAsia" w:eastAsiaTheme="minorEastAsia"/>
                <w:szCs w:val="21"/>
              </w:rPr>
              <w:t>应急措施</w:t>
            </w:r>
          </w:p>
        </w:tc>
        <w:tc>
          <w:tcPr>
            <w:tcW w:w="1220" w:type="dxa"/>
            <w:vAlign w:val="center"/>
          </w:tcPr>
          <w:p>
            <w:pPr>
              <w:jc w:val="center"/>
              <w:rPr>
                <w:rFonts w:hint="eastAsia" w:ascii="Times New Roman" w:hAnsi="Times New Roman" w:eastAsia="宋体" w:cs="Times New Roman"/>
                <w:color w:val="auto"/>
                <w:kern w:val="2"/>
                <w:sz w:val="22"/>
                <w:szCs w:val="22"/>
                <w:lang w:val="en-US" w:eastAsia="zh-CN" w:bidi="ar-SA"/>
              </w:rPr>
            </w:pPr>
            <w:r>
              <w:rPr>
                <w:rFonts w:hint="eastAsia"/>
                <w:color w:val="auto"/>
                <w:sz w:val="22"/>
                <w:szCs w:val="22"/>
              </w:rPr>
              <w:t>0-</w:t>
            </w:r>
            <w:r>
              <w:rPr>
                <w:rFonts w:hint="eastAsia"/>
                <w:color w:val="auto"/>
                <w:sz w:val="22"/>
                <w:szCs w:val="22"/>
                <w:lang w:val="en-US" w:eastAsia="zh-CN"/>
              </w:rPr>
              <w:t>5</w:t>
            </w:r>
            <w:r>
              <w:rPr>
                <w:rFonts w:hint="eastAsia"/>
                <w:color w:val="auto"/>
                <w:sz w:val="22"/>
                <w:szCs w:val="22"/>
              </w:rPr>
              <w:t>分</w:t>
            </w:r>
          </w:p>
        </w:tc>
        <w:tc>
          <w:tcPr>
            <w:tcW w:w="5335" w:type="dxa"/>
            <w:vAlign w:val="center"/>
          </w:tcPr>
          <w:p>
            <w:pPr>
              <w:pStyle w:val="16"/>
              <w:adjustRightInd w:val="0"/>
              <w:snapToGrid w:val="0"/>
              <w:spacing w:line="300" w:lineRule="exact"/>
              <w:rPr>
                <w:rFonts w:hint="eastAsia" w:ascii="宋体" w:hAnsi="Courier New" w:eastAsia="宋体" w:cs="Times New Roman"/>
                <w:color w:val="auto"/>
                <w:kern w:val="2"/>
                <w:sz w:val="21"/>
                <w:szCs w:val="20"/>
                <w:lang w:val="en-US" w:eastAsia="zh-CN" w:bidi="ar-SA"/>
              </w:rPr>
            </w:pPr>
            <w:r>
              <w:rPr>
                <w:rFonts w:cs="宋体" w:asciiTheme="minorEastAsia" w:hAnsiTheme="minorEastAsia" w:eastAsiaTheme="minorEastAsia"/>
                <w:color w:val="auto"/>
                <w:sz w:val="22"/>
                <w:szCs w:val="22"/>
              </w:rPr>
              <w:t>应急措施</w:t>
            </w:r>
            <w:r>
              <w:rPr>
                <w:rFonts w:hint="eastAsia" w:cs="宋体" w:asciiTheme="minorEastAsia" w:hAnsiTheme="minorEastAsia" w:eastAsiaTheme="minorEastAsia"/>
                <w:color w:val="auto"/>
                <w:sz w:val="22"/>
                <w:szCs w:val="22"/>
              </w:rPr>
              <w:t>、</w:t>
            </w:r>
            <w:r>
              <w:rPr>
                <w:rFonts w:cs="宋体" w:asciiTheme="minorEastAsia" w:hAnsiTheme="minorEastAsia" w:eastAsiaTheme="minorEastAsia"/>
                <w:color w:val="auto"/>
                <w:sz w:val="22"/>
                <w:szCs w:val="22"/>
              </w:rPr>
              <w:t>响应时间、应急处理等的合理性、可行性进行评审。其中：完全满足采购需求：</w:t>
            </w:r>
            <w:r>
              <w:rPr>
                <w:rFonts w:hint="eastAsia" w:cs="宋体" w:asciiTheme="minorEastAsia" w:hAnsiTheme="minorEastAsia" w:eastAsiaTheme="minorEastAsia"/>
                <w:color w:val="auto"/>
                <w:sz w:val="22"/>
                <w:szCs w:val="22"/>
              </w:rPr>
              <w:t>3.1</w:t>
            </w:r>
            <w:r>
              <w:rPr>
                <w:rFonts w:cs="宋体" w:asciiTheme="minorEastAsia" w:hAnsiTheme="minorEastAsia" w:eastAsiaTheme="minorEastAsia"/>
                <w:color w:val="auto"/>
                <w:sz w:val="22"/>
                <w:szCs w:val="22"/>
              </w:rPr>
              <w:t>-</w:t>
            </w:r>
            <w:r>
              <w:rPr>
                <w:rFonts w:hint="eastAsia" w:cs="宋体" w:asciiTheme="minorEastAsia" w:hAnsiTheme="minorEastAsia" w:eastAsiaTheme="minorEastAsia"/>
                <w:color w:val="auto"/>
                <w:sz w:val="22"/>
                <w:szCs w:val="22"/>
                <w:lang w:val="en-US" w:eastAsia="zh-CN"/>
              </w:rPr>
              <w:t>5</w:t>
            </w:r>
            <w:r>
              <w:rPr>
                <w:rFonts w:cs="宋体" w:asciiTheme="minorEastAsia" w:hAnsiTheme="minorEastAsia" w:eastAsiaTheme="minorEastAsia"/>
                <w:color w:val="auto"/>
                <w:sz w:val="22"/>
                <w:szCs w:val="22"/>
              </w:rPr>
              <w:t>分；基本满足采购需求：</w:t>
            </w:r>
            <w:r>
              <w:rPr>
                <w:rFonts w:hint="eastAsia" w:cs="宋体" w:asciiTheme="minorEastAsia" w:hAnsiTheme="minorEastAsia" w:eastAsiaTheme="minorEastAsia"/>
                <w:color w:val="auto"/>
                <w:sz w:val="22"/>
                <w:szCs w:val="22"/>
              </w:rPr>
              <w:t>1.1</w:t>
            </w:r>
            <w:r>
              <w:rPr>
                <w:rFonts w:cs="宋体" w:asciiTheme="minorEastAsia" w:hAnsiTheme="minorEastAsia" w:eastAsiaTheme="minorEastAsia"/>
                <w:color w:val="auto"/>
                <w:sz w:val="22"/>
                <w:szCs w:val="22"/>
              </w:rPr>
              <w:t>-</w:t>
            </w:r>
            <w:r>
              <w:rPr>
                <w:rFonts w:hint="eastAsia" w:cs="宋体" w:asciiTheme="minorEastAsia" w:hAnsiTheme="minorEastAsia" w:eastAsiaTheme="minorEastAsia"/>
                <w:color w:val="auto"/>
                <w:sz w:val="22"/>
                <w:szCs w:val="22"/>
              </w:rPr>
              <w:t>3</w:t>
            </w:r>
            <w:r>
              <w:rPr>
                <w:rFonts w:cs="宋体" w:asciiTheme="minorEastAsia" w:hAnsiTheme="minorEastAsia" w:eastAsiaTheme="minorEastAsia"/>
                <w:color w:val="auto"/>
                <w:sz w:val="22"/>
                <w:szCs w:val="22"/>
              </w:rPr>
              <w:t>分；个别满足采购需求：0-</w:t>
            </w:r>
            <w:r>
              <w:rPr>
                <w:rFonts w:hint="eastAsia" w:cs="宋体" w:asciiTheme="minorEastAsia" w:hAnsiTheme="minorEastAsia" w:eastAsiaTheme="minorEastAsia"/>
                <w:color w:val="auto"/>
                <w:sz w:val="22"/>
                <w:szCs w:val="22"/>
              </w:rPr>
              <w:t>1</w:t>
            </w:r>
            <w:r>
              <w:rPr>
                <w:rFonts w:cs="宋体" w:asciiTheme="minorEastAsia" w:hAnsiTheme="minorEastAsia" w:eastAsiaTheme="minorEastAsia"/>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6" w:hRule="atLeast"/>
        </w:trPr>
        <w:tc>
          <w:tcPr>
            <w:tcW w:w="599" w:type="dxa"/>
            <w:vAlign w:val="center"/>
          </w:tcPr>
          <w:p>
            <w:pPr>
              <w:pStyle w:val="16"/>
              <w:adjustRightInd w:val="0"/>
              <w:snapToGrid w:val="0"/>
              <w:spacing w:line="300" w:lineRule="exact"/>
              <w:jc w:val="center"/>
              <w:rPr>
                <w:rFonts w:hint="eastAsia" w:ascii="Times New Roman" w:hAnsi="Times New Roman" w:eastAsia="宋体"/>
                <w:sz w:val="22"/>
                <w:szCs w:val="22"/>
                <w:lang w:val="en-US" w:eastAsia="zh-CN"/>
              </w:rPr>
            </w:pPr>
            <w:r>
              <w:rPr>
                <w:rFonts w:hint="eastAsia" w:ascii="Times New Roman" w:hAnsi="Times New Roman"/>
                <w:sz w:val="22"/>
                <w:szCs w:val="22"/>
                <w:lang w:val="en-US" w:eastAsia="zh-CN"/>
              </w:rPr>
              <w:t>7</w:t>
            </w:r>
          </w:p>
        </w:tc>
        <w:tc>
          <w:tcPr>
            <w:tcW w:w="3304" w:type="dxa"/>
            <w:vAlign w:val="center"/>
          </w:tcPr>
          <w:p>
            <w:pPr>
              <w:widowControl/>
              <w:jc w:val="center"/>
              <w:rPr>
                <w:rFonts w:hint="eastAsia" w:ascii="Times New Roman" w:hAnsi="宋体" w:eastAsia="宋体" w:cs="Times New Roman"/>
                <w:kern w:val="2"/>
                <w:sz w:val="22"/>
                <w:szCs w:val="22"/>
                <w:lang w:val="en-US" w:eastAsia="zh-CN" w:bidi="ar-SA"/>
              </w:rPr>
            </w:pPr>
            <w:r>
              <w:rPr>
                <w:rFonts w:hint="eastAsia" w:ascii="Times New Roman" w:hAnsi="宋体" w:eastAsia="宋体" w:cs="Times New Roman"/>
                <w:kern w:val="2"/>
                <w:sz w:val="22"/>
                <w:szCs w:val="22"/>
                <w:lang w:val="en-US" w:eastAsia="zh-CN" w:bidi="ar-SA"/>
              </w:rPr>
              <w:t>售后服务承诺及计划</w:t>
            </w:r>
          </w:p>
          <w:p>
            <w:pPr>
              <w:pStyle w:val="16"/>
              <w:adjustRightInd w:val="0"/>
              <w:snapToGrid w:val="0"/>
              <w:spacing w:line="300" w:lineRule="exact"/>
              <w:jc w:val="center"/>
              <w:rPr>
                <w:rFonts w:hint="eastAsia" w:ascii="Times New Roman" w:hAnsi="宋体" w:eastAsia="宋体" w:cs="Times New Roman"/>
                <w:kern w:val="2"/>
                <w:sz w:val="22"/>
                <w:szCs w:val="22"/>
                <w:lang w:val="en-US" w:eastAsia="zh-CN" w:bidi="ar-SA"/>
              </w:rPr>
            </w:pPr>
          </w:p>
        </w:tc>
        <w:tc>
          <w:tcPr>
            <w:tcW w:w="1220" w:type="dxa"/>
            <w:vAlign w:val="center"/>
          </w:tcPr>
          <w:p>
            <w:pPr>
              <w:jc w:val="center"/>
              <w:rPr>
                <w:rFonts w:hint="default"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w:t>
            </w:r>
            <w:r>
              <w:rPr>
                <w:rFonts w:hint="eastAsia"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分</w:t>
            </w:r>
          </w:p>
        </w:tc>
        <w:tc>
          <w:tcPr>
            <w:tcW w:w="5335" w:type="dxa"/>
            <w:vAlign w:val="center"/>
          </w:tcPr>
          <w:p>
            <w:pPr>
              <w:pStyle w:val="17"/>
              <w:ind w:left="0" w:leftChars="0" w:firstLine="0" w:firstLineChars="0"/>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根据各投标供应商对本项目设置的驻场地的响应速度及服务内容等综合情况，由专家打分；响应速度快，完全满足采购需求：</w:t>
            </w:r>
            <w:r>
              <w:rPr>
                <w:rFonts w:cs="宋体" w:asciiTheme="minorEastAsia" w:hAnsiTheme="minorEastAsia" w:eastAsiaTheme="minorEastAsia"/>
                <w:color w:val="auto"/>
                <w:sz w:val="22"/>
                <w:szCs w:val="22"/>
              </w:rPr>
              <w:t>完全满足采购需求：</w:t>
            </w:r>
            <w:r>
              <w:rPr>
                <w:rFonts w:hint="eastAsia" w:cs="宋体" w:asciiTheme="minorEastAsia" w:hAnsiTheme="minorEastAsia" w:eastAsiaTheme="minorEastAsia"/>
                <w:color w:val="auto"/>
                <w:sz w:val="22"/>
                <w:szCs w:val="22"/>
                <w:lang w:val="en-US" w:eastAsia="zh-CN"/>
              </w:rPr>
              <w:t>4</w:t>
            </w:r>
            <w:r>
              <w:rPr>
                <w:rFonts w:hint="eastAsia" w:cs="宋体" w:asciiTheme="minorEastAsia" w:hAnsiTheme="minorEastAsia" w:eastAsiaTheme="minorEastAsia"/>
                <w:color w:val="auto"/>
                <w:sz w:val="22"/>
                <w:szCs w:val="22"/>
              </w:rPr>
              <w:t>.1</w:t>
            </w:r>
            <w:r>
              <w:rPr>
                <w:rFonts w:cs="宋体" w:asciiTheme="minorEastAsia" w:hAnsiTheme="minorEastAsia" w:eastAsiaTheme="minorEastAsia"/>
                <w:color w:val="auto"/>
                <w:sz w:val="22"/>
                <w:szCs w:val="22"/>
              </w:rPr>
              <w:t>-</w:t>
            </w:r>
            <w:r>
              <w:rPr>
                <w:rFonts w:hint="eastAsia" w:cs="宋体" w:asciiTheme="minorEastAsia" w:hAnsiTheme="minorEastAsia" w:eastAsiaTheme="minorEastAsia"/>
                <w:color w:val="auto"/>
                <w:sz w:val="22"/>
                <w:szCs w:val="22"/>
                <w:lang w:val="en-US" w:eastAsia="zh-CN"/>
              </w:rPr>
              <w:t>6</w:t>
            </w:r>
            <w:r>
              <w:rPr>
                <w:rFonts w:cs="宋体" w:asciiTheme="minorEastAsia" w:hAnsiTheme="minorEastAsia" w:eastAsiaTheme="minorEastAsia"/>
                <w:color w:val="auto"/>
                <w:sz w:val="22"/>
                <w:szCs w:val="22"/>
              </w:rPr>
              <w:t>分；基本满足采购需求：</w:t>
            </w:r>
            <w:r>
              <w:rPr>
                <w:rFonts w:hint="eastAsia" w:cs="宋体" w:asciiTheme="minorEastAsia" w:hAnsiTheme="minorEastAsia" w:eastAsiaTheme="minorEastAsia"/>
                <w:color w:val="auto"/>
                <w:sz w:val="22"/>
                <w:szCs w:val="22"/>
                <w:lang w:val="en-US" w:eastAsia="zh-CN"/>
              </w:rPr>
              <w:t>2</w:t>
            </w:r>
            <w:r>
              <w:rPr>
                <w:rFonts w:hint="eastAsia" w:cs="宋体" w:asciiTheme="minorEastAsia" w:hAnsiTheme="minorEastAsia" w:eastAsiaTheme="minorEastAsia"/>
                <w:color w:val="auto"/>
                <w:sz w:val="22"/>
                <w:szCs w:val="22"/>
              </w:rPr>
              <w:t>.1</w:t>
            </w:r>
            <w:r>
              <w:rPr>
                <w:rFonts w:cs="宋体" w:asciiTheme="minorEastAsia" w:hAnsiTheme="minorEastAsia" w:eastAsiaTheme="minorEastAsia"/>
                <w:color w:val="auto"/>
                <w:sz w:val="22"/>
                <w:szCs w:val="22"/>
              </w:rPr>
              <w:t>-</w:t>
            </w:r>
            <w:r>
              <w:rPr>
                <w:rFonts w:hint="eastAsia" w:cs="宋体" w:asciiTheme="minorEastAsia" w:hAnsiTheme="minorEastAsia" w:eastAsiaTheme="minorEastAsia"/>
                <w:color w:val="auto"/>
                <w:sz w:val="22"/>
                <w:szCs w:val="22"/>
                <w:lang w:val="en-US" w:eastAsia="zh-CN"/>
              </w:rPr>
              <w:t>4</w:t>
            </w:r>
            <w:r>
              <w:rPr>
                <w:rFonts w:cs="宋体" w:asciiTheme="minorEastAsia" w:hAnsiTheme="minorEastAsia" w:eastAsiaTheme="minorEastAsia"/>
                <w:color w:val="auto"/>
                <w:sz w:val="22"/>
                <w:szCs w:val="22"/>
              </w:rPr>
              <w:t>分；个别满足采购需求：0-</w:t>
            </w:r>
            <w:r>
              <w:rPr>
                <w:rFonts w:hint="eastAsia" w:cs="宋体" w:asciiTheme="minorEastAsia" w:hAnsiTheme="minorEastAsia" w:eastAsiaTheme="minorEastAsia"/>
                <w:color w:val="auto"/>
                <w:sz w:val="22"/>
                <w:szCs w:val="22"/>
                <w:lang w:val="en-US" w:eastAsia="zh-CN"/>
              </w:rPr>
              <w:t>2</w:t>
            </w:r>
            <w:r>
              <w:rPr>
                <w:rFonts w:cs="宋体" w:asciiTheme="minorEastAsia" w:hAnsiTheme="minorEastAsia" w:eastAsiaTheme="minorEastAsia"/>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4" w:hRule="atLeast"/>
        </w:trPr>
        <w:tc>
          <w:tcPr>
            <w:tcW w:w="599" w:type="dxa"/>
            <w:vAlign w:val="center"/>
          </w:tcPr>
          <w:p>
            <w:pPr>
              <w:pStyle w:val="16"/>
              <w:adjustRightInd w:val="0"/>
              <w:snapToGrid w:val="0"/>
              <w:spacing w:line="300" w:lineRule="exact"/>
              <w:jc w:val="center"/>
              <w:rPr>
                <w:rFonts w:hint="default" w:ascii="Times New Roman" w:hAnsi="Times New Roman"/>
                <w:sz w:val="22"/>
                <w:szCs w:val="22"/>
                <w:lang w:val="en-US" w:eastAsia="zh-CN"/>
              </w:rPr>
            </w:pPr>
            <w:r>
              <w:rPr>
                <w:rFonts w:hint="eastAsia" w:ascii="Times New Roman" w:hAnsi="Times New Roman"/>
                <w:sz w:val="22"/>
                <w:szCs w:val="22"/>
                <w:lang w:val="en-US" w:eastAsia="zh-CN"/>
              </w:rPr>
              <w:t>8</w:t>
            </w:r>
          </w:p>
        </w:tc>
        <w:tc>
          <w:tcPr>
            <w:tcW w:w="3304" w:type="dxa"/>
            <w:vAlign w:val="center"/>
          </w:tcPr>
          <w:p>
            <w:pPr>
              <w:pStyle w:val="16"/>
              <w:adjustRightInd w:val="0"/>
              <w:snapToGrid w:val="0"/>
              <w:spacing w:line="300" w:lineRule="exact"/>
              <w:jc w:val="center"/>
              <w:rPr>
                <w:rFonts w:hint="default" w:ascii="Times New Roman" w:hAnsi="宋体" w:eastAsia="宋体" w:cs="Times New Roman"/>
                <w:kern w:val="2"/>
                <w:sz w:val="22"/>
                <w:szCs w:val="22"/>
                <w:lang w:val="en-US" w:eastAsia="zh-CN" w:bidi="ar-SA"/>
              </w:rPr>
            </w:pPr>
            <w:r>
              <w:rPr>
                <w:rFonts w:hint="eastAsia" w:ascii="Times New Roman" w:hAnsi="宋体" w:eastAsia="宋体" w:cs="Times New Roman"/>
                <w:kern w:val="2"/>
                <w:sz w:val="22"/>
                <w:szCs w:val="22"/>
                <w:lang w:val="en-US" w:eastAsia="zh-CN" w:bidi="ar-SA"/>
              </w:rPr>
              <w:t>维护期方案</w:t>
            </w:r>
          </w:p>
        </w:tc>
        <w:tc>
          <w:tcPr>
            <w:tcW w:w="1220" w:type="dxa"/>
            <w:vAlign w:val="center"/>
          </w:tcPr>
          <w:p>
            <w:pPr>
              <w:jc w:val="center"/>
              <w:rPr>
                <w:rFonts w:hint="default"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0-10分</w:t>
            </w:r>
          </w:p>
        </w:tc>
        <w:tc>
          <w:tcPr>
            <w:tcW w:w="5335" w:type="dxa"/>
            <w:vAlign w:val="center"/>
          </w:tcPr>
          <w:p>
            <w:pPr>
              <w:widowControl/>
              <w:rPr>
                <w:rFonts w:hint="default"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根据各投标供应商提出</w:t>
            </w:r>
            <w:r>
              <w:rPr>
                <w:rFonts w:hint="default" w:ascii="Times New Roman" w:hAnsi="宋体" w:eastAsia="宋体" w:cs="Times New Roman"/>
                <w:color w:val="auto"/>
                <w:kern w:val="2"/>
                <w:sz w:val="22"/>
                <w:szCs w:val="22"/>
                <w:lang w:val="en-US" w:eastAsia="zh-CN" w:bidi="ar-SA"/>
              </w:rPr>
              <w:t>维护措施的合理性由评委打分。</w:t>
            </w:r>
          </w:p>
          <w:p>
            <w:pPr>
              <w:pStyle w:val="17"/>
              <w:ind w:left="0" w:leftChars="0" w:firstLine="0" w:firstLineChars="0"/>
              <w:rPr>
                <w:rFonts w:hint="eastAsia" w:ascii="Times New Roman" w:hAnsi="宋体" w:eastAsia="宋体" w:cs="Times New Roman"/>
                <w:color w:val="auto"/>
                <w:kern w:val="2"/>
                <w:sz w:val="22"/>
                <w:szCs w:val="22"/>
                <w:lang w:val="en-US" w:eastAsia="zh-CN" w:bidi="ar-SA"/>
              </w:rPr>
            </w:pPr>
            <w:r>
              <w:rPr>
                <w:rFonts w:hint="default" w:ascii="Times New Roman" w:hAnsi="宋体" w:eastAsia="宋体" w:cs="Times New Roman"/>
                <w:color w:val="auto"/>
                <w:kern w:val="2"/>
                <w:sz w:val="22"/>
                <w:szCs w:val="22"/>
                <w:lang w:val="en-US" w:eastAsia="zh-CN" w:bidi="ar-SA"/>
              </w:rPr>
              <w:t>方案非常完善，合理性强：</w:t>
            </w:r>
            <w:r>
              <w:rPr>
                <w:rFonts w:hint="eastAsia" w:ascii="Times New Roman" w:hAnsi="宋体" w:eastAsia="宋体" w:cs="Times New Roman"/>
                <w:color w:val="auto"/>
                <w:kern w:val="2"/>
                <w:sz w:val="22"/>
                <w:szCs w:val="22"/>
                <w:lang w:val="en-US" w:eastAsia="zh-CN" w:bidi="ar-SA"/>
              </w:rPr>
              <w:t>6.1</w:t>
            </w:r>
            <w:r>
              <w:rPr>
                <w:rFonts w:hint="default" w:ascii="Times New Roman" w:hAnsi="宋体" w:eastAsia="宋体" w:cs="Times New Roman"/>
                <w:color w:val="auto"/>
                <w:kern w:val="2"/>
                <w:sz w:val="22"/>
                <w:szCs w:val="22"/>
                <w:lang w:val="en-US" w:eastAsia="zh-CN" w:bidi="ar-SA"/>
              </w:rPr>
              <w:t>-</w:t>
            </w:r>
            <w:r>
              <w:rPr>
                <w:rFonts w:hint="eastAsia" w:ascii="Times New Roman" w:hAnsi="宋体" w:eastAsia="宋体" w:cs="Times New Roman"/>
                <w:color w:val="auto"/>
                <w:kern w:val="2"/>
                <w:sz w:val="22"/>
                <w:szCs w:val="22"/>
                <w:lang w:val="en-US" w:eastAsia="zh-CN" w:bidi="ar-SA"/>
              </w:rPr>
              <w:t>10</w:t>
            </w:r>
            <w:r>
              <w:rPr>
                <w:rFonts w:hint="default" w:ascii="Times New Roman" w:hAnsi="宋体" w:eastAsia="宋体" w:cs="Times New Roman"/>
                <w:color w:val="auto"/>
                <w:kern w:val="2"/>
                <w:sz w:val="22"/>
                <w:szCs w:val="22"/>
                <w:lang w:val="en-US" w:eastAsia="zh-CN" w:bidi="ar-SA"/>
              </w:rPr>
              <w:t>分；方案基本完善，合理性较强：3</w:t>
            </w:r>
            <w:r>
              <w:rPr>
                <w:rFonts w:hint="eastAsia" w:ascii="Times New Roman" w:hAnsi="宋体" w:eastAsia="宋体" w:cs="Times New Roman"/>
                <w:color w:val="auto"/>
                <w:kern w:val="2"/>
                <w:sz w:val="22"/>
                <w:szCs w:val="22"/>
                <w:lang w:val="en-US" w:eastAsia="zh-CN" w:bidi="ar-SA"/>
              </w:rPr>
              <w:t>.1</w:t>
            </w:r>
            <w:r>
              <w:rPr>
                <w:rFonts w:hint="default" w:ascii="Times New Roman" w:hAnsi="宋体" w:eastAsia="宋体" w:cs="Times New Roman"/>
                <w:color w:val="auto"/>
                <w:kern w:val="2"/>
                <w:sz w:val="22"/>
                <w:szCs w:val="22"/>
                <w:lang w:val="en-US" w:eastAsia="zh-CN" w:bidi="ar-SA"/>
              </w:rPr>
              <w:t>-6分；方案个别优秀，合理性不够强：0-</w:t>
            </w:r>
            <w:r>
              <w:rPr>
                <w:rFonts w:hint="eastAsia" w:ascii="Times New Roman" w:hAnsi="宋体" w:eastAsia="宋体" w:cs="Times New Roman"/>
                <w:color w:val="auto"/>
                <w:kern w:val="2"/>
                <w:sz w:val="22"/>
                <w:szCs w:val="22"/>
                <w:lang w:val="en-US" w:eastAsia="zh-CN" w:bidi="ar-SA"/>
              </w:rPr>
              <w:t>3</w:t>
            </w:r>
            <w:r>
              <w:rPr>
                <w:rFonts w:hint="default" w:ascii="Times New Roman" w:hAnsi="宋体" w:eastAsia="宋体" w:cs="Times New Roman"/>
                <w:color w:val="auto"/>
                <w:kern w:val="2"/>
                <w:sz w:val="22"/>
                <w:szCs w:val="22"/>
                <w:lang w:val="en-US" w:eastAsia="zh-CN" w:bidi="ar-SA"/>
              </w:rPr>
              <w:t>分。</w:t>
            </w:r>
          </w:p>
        </w:tc>
      </w:tr>
    </w:tbl>
    <w:p>
      <w:pPr>
        <w:pStyle w:val="17"/>
      </w:pPr>
    </w:p>
    <w:p>
      <w:pPr>
        <w:pStyle w:val="16"/>
        <w:adjustRightInd w:val="0"/>
        <w:snapToGrid w:val="0"/>
        <w:spacing w:line="460" w:lineRule="exact"/>
        <w:rPr>
          <w:sz w:val="22"/>
          <w:szCs w:val="22"/>
        </w:rPr>
      </w:pPr>
      <w:r>
        <w:rPr>
          <w:rFonts w:hint="eastAsia"/>
          <w:sz w:val="22"/>
          <w:szCs w:val="22"/>
        </w:rPr>
        <w:t>三、说明</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15"/>
        <w:spacing w:before="120" w:after="120"/>
      </w:pPr>
    </w:p>
    <w:p>
      <w:pPr>
        <w:pStyle w:val="16"/>
        <w:adjustRightInd w:val="0"/>
        <w:snapToGrid w:val="0"/>
        <w:spacing w:line="400" w:lineRule="exact"/>
        <w:rPr>
          <w:rFonts w:hAnsi="宋体" w:cs="宋体"/>
          <w:sz w:val="22"/>
          <w:szCs w:val="2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bookmarkStart w:id="22" w:name="_GoBack"/>
      <w:bookmarkEnd w:id="22"/>
      <w:r>
        <w:rPr>
          <w:rFonts w:ascii="方正小标宋简体" w:hAnsi="方正小标宋简体" w:eastAsia="方正小标宋简体" w:cs="方正小标宋简体"/>
          <w:sz w:val="32"/>
          <w:szCs w:val="32"/>
        </w:rPr>
        <w:t>政府采购活动现场确认声明书</w:t>
      </w:r>
    </w:p>
    <w:p>
      <w:pPr>
        <w:pStyle w:val="53"/>
        <w:widowControl w:val="0"/>
        <w:snapToGrid w:val="0"/>
        <w:spacing w:line="480" w:lineRule="exact"/>
        <w:jc w:val="both"/>
        <w:rPr>
          <w:rFonts w:hint="default" w:ascii="仿宋" w:hAnsi="仿宋"/>
          <w:szCs w:val="21"/>
        </w:rPr>
      </w:pPr>
      <w:r>
        <w:rPr>
          <w:rFonts w:ascii="仿宋" w:hAnsi="仿宋"/>
          <w:kern w:val="0"/>
          <w:szCs w:val="21"/>
          <w:u w:val="single"/>
        </w:rPr>
        <w:t>浙江亿邦建设咨询有限公司（采购组织机构名称）</w:t>
      </w:r>
      <w:r>
        <w:rPr>
          <w:rFonts w:ascii="仿宋" w:hAnsi="仿宋"/>
          <w:kern w:val="0"/>
          <w:szCs w:val="21"/>
        </w:rPr>
        <w:t>：</w:t>
      </w:r>
    </w:p>
    <w:p>
      <w:pPr>
        <w:pStyle w:val="53"/>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（姓名）合法授权参加平阳县宋埠站位水质提升与水质稳定</w:t>
      </w:r>
      <w:r>
        <w:rPr>
          <w:rFonts w:hint="eastAsia" w:hAnsi="宋体"/>
          <w:spacing w:val="6"/>
          <w:szCs w:val="21"/>
          <w:u w:val="single"/>
          <w:lang w:eastAsia="zh-CN"/>
        </w:rPr>
        <w:t>项目采购</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54"/>
        <w:widowControl/>
        <w:numPr>
          <w:ilvl w:val="0"/>
          <w:numId w:val="7"/>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4"/>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54"/>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54"/>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3"/>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3"/>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3"/>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54"/>
        <w:widowControl/>
        <w:numPr>
          <w:ilvl w:val="0"/>
          <w:numId w:val="8"/>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54"/>
        <w:widowControl/>
        <w:numPr>
          <w:ilvl w:val="0"/>
          <w:numId w:val="8"/>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3"/>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3"/>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注：投标文件解密结束后，各投标供应商签署《政府采购活动现场确认声明书》，并在30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35"/>
          <w:rFonts w:hint="eastAsia" w:ascii="宋体" w:hAnsi="宋体"/>
          <w:b/>
          <w:bCs/>
          <w:color w:val="auto"/>
          <w:sz w:val="22"/>
        </w:rPr>
        <w:t>214381086@qq.com</w:t>
      </w:r>
      <w:r>
        <w:rPr>
          <w:rStyle w:val="35"/>
          <w:rFonts w:hint="eastAsia" w:ascii="宋体" w:hAnsi="宋体"/>
          <w:b/>
          <w:bCs/>
          <w:color w:val="auto"/>
          <w:sz w:val="22"/>
        </w:rPr>
        <w:fldChar w:fldCharType="end"/>
      </w:r>
      <w:r>
        <w:rPr>
          <w:rFonts w:hint="eastAsia" w:ascii="宋体" w:hAnsi="宋体"/>
          <w:b/>
          <w:bCs/>
          <w:sz w:val="22"/>
        </w:rPr>
        <w:t xml:space="preserve"> 。</w:t>
      </w:r>
    </w:p>
    <w:p>
      <w:pPr>
        <w:pStyle w:val="43"/>
      </w:pPr>
    </w:p>
    <w:p>
      <w:pPr>
        <w:pStyle w:val="15"/>
        <w:spacing w:before="120" w:after="120"/>
        <w:sectPr>
          <w:pgSz w:w="11907" w:h="16840"/>
          <w:pgMar w:top="1440" w:right="1106" w:bottom="1440" w:left="1157"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16"/>
        <w:adjustRightInd w:val="0"/>
        <w:snapToGrid w:val="0"/>
        <w:spacing w:line="460" w:lineRule="atLeast"/>
        <w:rPr>
          <w:rFonts w:hAnsi="宋体" w:cs="宋体"/>
        </w:rPr>
      </w:pPr>
    </w:p>
    <w:p/>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Century Gothic">
    <w:altName w:val="Segoe Print"/>
    <w:panose1 w:val="020B0502020202020204"/>
    <w:charset w:val="00"/>
    <w:family w:val="swiss"/>
    <w:pitch w:val="default"/>
    <w:sig w:usb0="00000000" w:usb1="00000000" w:usb2="00000000" w:usb3="00000000" w:csb0="2000009F" w:csb1="DFD70000"/>
  </w:font>
  <w:font w:name="方正小标宋简体">
    <w:altName w:val="黑体"/>
    <w:panose1 w:val="00000000000000000000"/>
    <w:charset w:val="86"/>
    <w:family w:val="script"/>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1+K1qcBAAA/AwAADgAAAGRycy9lMm9Eb2MueG1srVLNahsxEL4H8g5C&#10;91obE4pZvA4JISVQ0kKSB5C1klegPzSKd/0C6Rv01EvvfS4/R0byrpM0t9KLNJoZfTPfN7O8GKwh&#10;WxlBe9fQs1lFiXTCt9ptGvr4cPNpQQkk7lpuvJMN3UmgF6vTk2Ufajn3nTetjARBHNR9aGiXUqgZ&#10;A9FJy2Hmg3QYVD5anvAZN6yNvEd0a9i8qj6z3sc2RC8kAHqvD0G6KvhKSZG+KQUyEdNQ7C2VM5Zz&#10;nU+2WvJ6E3notBjb4P/QheXaYdEj1DVPnDxF/QHKahE9eJVmwlvmldJCFg7I5qz6i819x4MsXFAc&#10;CEeZ4P/Birvt90h029BzShy3OKL9zx/7X3/2v5/JeZanD1Bj1n3AvDRc+QHHPPkBnZn1oKLNN/Ih&#10;GEehd0dx5ZCIyJ8W88WiwpDA2PRAfPb6PURIX6S3JBsNjTi9IirffoV0SJ1ScjXnb7QxZYLGvXMg&#10;Zvaw3Puhx2ylYT2MhNa+3SGfHgffUIebSYm5dahr3pHJiJOxHo1cA8LlU8LCpZ+MeoAai+GUCqNx&#10;o/IavH2XrNe9X70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KNfitanAQAAPwMAAA4AAAAA&#10;AAAAAQAgAAAAHgEAAGRycy9lMm9Eb2MueG1sUEsFBgAAAAAGAAYAWQEAADc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Style w:val="28"/>
                            </w:rPr>
                          </w:pPr>
                          <w:r>
                            <w:fldChar w:fldCharType="begin"/>
                          </w:r>
                          <w:r>
                            <w:rPr>
                              <w:rStyle w:val="28"/>
                            </w:rPr>
                            <w:instrText xml:space="preserve">PAGE  </w:instrText>
                          </w:r>
                          <w:r>
                            <w:fldChar w:fldCharType="separate"/>
                          </w:r>
                          <w:r>
                            <w:rPr>
                              <w:rStyle w:val="28"/>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21"/>
                      <w:rPr>
                        <w:rStyle w:val="28"/>
                      </w:rPr>
                    </w:pPr>
                    <w:r>
                      <w:fldChar w:fldCharType="begin"/>
                    </w:r>
                    <w:r>
                      <w:rPr>
                        <w:rStyle w:val="28"/>
                      </w:rPr>
                      <w:instrText xml:space="preserve">PAGE  </w:instrText>
                    </w:r>
                    <w:r>
                      <w:fldChar w:fldCharType="separate"/>
                    </w:r>
                    <w:r>
                      <w:rPr>
                        <w:rStyle w:val="28"/>
                      </w:rPr>
                      <w:t>62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BnZ/fdgBAACUAwAADgAAAGRycy9lMm9Eb2MueG1srVNLjhMx&#10;EN0jcQfLe9JJIMC00pnFhIEFgkjAASr+pC35J5dJJ5fgAkjsYMVy9tyGmWNM2cmE3wYhelGy6/Oq&#10;3nP1/HznLNuqhCb4jk9GY86UF0Eav+n4u7eXD55yhhm8BBu86vheIT9f3L83H2KrpqEPVqrECMRj&#10;O8SO9znHtmlQ9MoBjkJUnoI6JAeZrmnTyAQDoTvbTMfjx80QkowpCIVI3uUhyBcVX2sl8mutUWVm&#10;O06z5WpTtetim8Uc2k2C2BtxHAP+YQoHxlPTE9QSMrD3yfwB5YxIAYPOIxFcE7Q2QlUOxGYy/o3N&#10;mx6iqlxIHIwnmfD/wYpX21ViRtLbcebB0RNdf7z6/uHzzbdPZK+/fmGTItIQsaXcC79KxxvGVSqM&#10;dzo5pq2JLwpG8RArtqsS708Sq11mgpyzs4ePxk9mnIm7WHOAKIUxYX6ugmPl0HFrfGEPLWxfYqa2&#10;lHqXUtzWs6HjZ7NpgQNaHm0h09FFooN+U2sxWCMvjbWlAtNmfWET20JZh/oVcoT7S1ppsgTsD3k1&#10;dFiUXoF85iXL+0hCedpoXkZwSnJmFf0A5USA0GYw9m8yqbX1NEHR96BoOa2D3Fehq5+evs54XNOy&#10;Wz/fa/WPn2lx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eYc1PVAAAACAEAAA8AAAAAAAAAAQAg&#10;AAAAIgAAAGRycy9kb3ducmV2LnhtbFBLAQIUABQAAAAIAIdO4kAGdn992AEAAJQDAAAOAAAAAAAA&#10;AAEAIAAAACQBAABkcnMvZTJvRG9jLnhtbFBLBQYAAAAABgAGAFkBAABu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21"/>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righ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Style w:val="28"/>
                            </w:rPr>
                          </w:pPr>
                          <w:r>
                            <w:fldChar w:fldCharType="begin"/>
                          </w:r>
                          <w:r>
                            <w:rPr>
                              <w:rStyle w:val="28"/>
                            </w:rPr>
                            <w:instrText xml:space="preserve">PAGE  </w:instrText>
                          </w:r>
                          <w:r>
                            <w:fldChar w:fldCharType="separate"/>
                          </w:r>
                          <w:r>
                            <w:rPr>
                              <w:rStyle w:val="28"/>
                            </w:rP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4x0QAgAABwQAAA4AAABkcnMvZTJvRG9jLnhtbK1TzY7TMBC+I/EO&#10;lu80aRG7Vd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oI+MdEAIAAAcEAAAOAAAAAAAAAAEAIAAA&#10;AB8BAABkcnMvZTJvRG9jLnhtbFBLBQYAAAAABgAGAFkBAAChBQAAAAA=&#10;">
              <v:fill on="f" focussize="0,0"/>
              <v:stroke on="f" weight="0.5pt"/>
              <v:imagedata o:title=""/>
              <o:lock v:ext="edit" aspectratio="f"/>
              <v:textbox inset="0mm,0mm,0mm,0mm" style="mso-fit-shape-to-text:t;">
                <w:txbxContent>
                  <w:p>
                    <w:pPr>
                      <w:pStyle w:val="21"/>
                      <w:rPr>
                        <w:rStyle w:val="28"/>
                      </w:rPr>
                    </w:pPr>
                    <w:r>
                      <w:fldChar w:fldCharType="begin"/>
                    </w:r>
                    <w:r>
                      <w:rPr>
                        <w:rStyle w:val="28"/>
                      </w:rPr>
                      <w:instrText xml:space="preserve">PAGE  </w:instrText>
                    </w:r>
                    <w:r>
                      <w:fldChar w:fldCharType="separate"/>
                    </w:r>
                    <w:r>
                      <w:rPr>
                        <w:rStyle w:val="28"/>
                      </w:rPr>
                      <w:t>70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28"/>
      </w:rPr>
    </w:pPr>
    <w:r>
      <w:fldChar w:fldCharType="begin"/>
    </w:r>
    <w:r>
      <w:rPr>
        <w:rStyle w:val="28"/>
      </w:rPr>
      <w:instrText xml:space="preserve">PAGE  </w:instrText>
    </w:r>
    <w:r>
      <w:fldChar w:fldCharType="end"/>
    </w:r>
  </w:p>
  <w:p>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1">
    <w:nsid w:val="00000024"/>
    <w:multiLevelType w:val="multilevel"/>
    <w:tmpl w:val="00000024"/>
    <w:lvl w:ilvl="0" w:tentative="0">
      <w:start w:val="1"/>
      <w:numFmt w:val="decimal"/>
      <w:lvlText w:val="%1"/>
      <w:lvlJc w:val="left"/>
      <w:pPr>
        <w:tabs>
          <w:tab w:val="left" w:pos="473"/>
        </w:tabs>
        <w:ind w:left="60" w:firstLine="53"/>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16DC16B"/>
    <w:multiLevelType w:val="multilevel"/>
    <w:tmpl w:val="316DC16B"/>
    <w:lvl w:ilvl="0" w:tentative="0">
      <w:start w:val="1"/>
      <w:numFmt w:val="decimal"/>
      <w:pStyle w:val="59"/>
      <w:lvlText w:val="第%1章"/>
      <w:lvlJc w:val="left"/>
      <w:pPr>
        <w:ind w:left="425" w:hanging="425"/>
      </w:pPr>
      <w:rPr>
        <w:rFonts w:hint="default" w:ascii="宋体" w:hAnsi="宋体" w:eastAsia="宋体" w:cs="宋体"/>
      </w:rPr>
    </w:lvl>
    <w:lvl w:ilvl="1" w:tentative="0">
      <w:start w:val="1"/>
      <w:numFmt w:val="decimal"/>
      <w:lvlText w:val="%1.%2"/>
      <w:lvlJc w:val="left"/>
      <w:pPr>
        <w:ind w:left="340" w:hanging="340"/>
      </w:pPr>
      <w:rPr>
        <w:rFonts w:hint="default" w:ascii="宋体" w:hAnsi="宋体" w:eastAsia="宋体" w:cs="宋体"/>
        <w:b/>
        <w:u w:val="none"/>
      </w:rPr>
    </w:lvl>
    <w:lvl w:ilvl="2" w:tentative="0">
      <w:start w:val="1"/>
      <w:numFmt w:val="decimal"/>
      <w:pStyle w:val="58"/>
      <w:lvlText w:val="%1.%2.%3"/>
      <w:lvlJc w:val="left"/>
      <w:pPr>
        <w:ind w:left="1418" w:hanging="1078"/>
      </w:pPr>
      <w:rPr>
        <w:rFonts w:hint="default" w:ascii="宋体" w:hAnsi="宋体" w:eastAsia="宋体" w:cs="宋体"/>
      </w:rPr>
    </w:lvl>
    <w:lvl w:ilvl="3" w:tentative="0">
      <w:start w:val="1"/>
      <w:numFmt w:val="decimal"/>
      <w:lvlText w:val="%1.%2.%3.%4"/>
      <w:lvlJc w:val="left"/>
      <w:pPr>
        <w:ind w:left="1418" w:hanging="454"/>
      </w:pPr>
      <w:rPr>
        <w:rFonts w:hint="default" w:ascii="宋体" w:hAnsi="宋体" w:eastAsia="宋体" w:cs="宋体"/>
      </w:rPr>
    </w:lvl>
    <w:lvl w:ilvl="4" w:tentative="0">
      <w:start w:val="1"/>
      <w:numFmt w:val="decimal"/>
      <w:lvlText w:val="(%5)"/>
      <w:lvlJc w:val="left"/>
      <w:pPr>
        <w:ind w:left="2551" w:hanging="850"/>
      </w:pPr>
      <w:rPr>
        <w:rFonts w:hint="default" w:ascii="宋体" w:hAnsi="宋体" w:eastAsia="宋体" w:cs="宋体"/>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3329792D"/>
    <w:multiLevelType w:val="multilevel"/>
    <w:tmpl w:val="3329792D"/>
    <w:lvl w:ilvl="0" w:tentative="0">
      <w:start w:val="3"/>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4F403B5"/>
    <w:multiLevelType w:val="singleLevel"/>
    <w:tmpl w:val="54F403B5"/>
    <w:lvl w:ilvl="0" w:tentative="0">
      <w:start w:val="1"/>
      <w:numFmt w:val="chineseCounting"/>
      <w:suff w:val="nothing"/>
      <w:lvlText w:val="%1、"/>
      <w:lvlJc w:val="left"/>
    </w:lvl>
  </w:abstractNum>
  <w:abstractNum w:abstractNumId="5">
    <w:nsid w:val="557FD3DA"/>
    <w:multiLevelType w:val="singleLevel"/>
    <w:tmpl w:val="557FD3DA"/>
    <w:lvl w:ilvl="0" w:tentative="0">
      <w:start w:val="3"/>
      <w:numFmt w:val="chineseCounting"/>
      <w:suff w:val="nothing"/>
      <w:lvlText w:val="%1、"/>
      <w:lvlJc w:val="left"/>
    </w:lvl>
  </w:abstractNum>
  <w:abstractNum w:abstractNumId="6">
    <w:nsid w:val="75943FFE"/>
    <w:multiLevelType w:val="singleLevel"/>
    <w:tmpl w:val="75943FFE"/>
    <w:lvl w:ilvl="0" w:tentative="0">
      <w:start w:val="2"/>
      <w:numFmt w:val="chineseCounting"/>
      <w:suff w:val="space"/>
      <w:lvlText w:val="第%1部分"/>
      <w:lvlJc w:val="left"/>
      <w:rPr>
        <w:rFonts w:hint="eastAsia"/>
      </w:rPr>
    </w:lvl>
  </w:abstractNum>
  <w:abstractNum w:abstractNumId="7">
    <w:nsid w:val="77ED5E6E"/>
    <w:multiLevelType w:val="singleLevel"/>
    <w:tmpl w:val="77ED5E6E"/>
    <w:lvl w:ilvl="0" w:tentative="0">
      <w:start w:val="7"/>
      <w:numFmt w:val="chineseCounting"/>
      <w:suff w:val="nothing"/>
      <w:lvlText w:val="第%1部分、"/>
      <w:lvlJc w:val="left"/>
      <w:rPr>
        <w:rFonts w:hint="eastAsia"/>
      </w:rPr>
    </w:lvl>
  </w:abstractNum>
  <w:num w:numId="1">
    <w:abstractNumId w:val="2"/>
  </w:num>
  <w:num w:numId="2">
    <w:abstractNumId w:val="0"/>
  </w:num>
  <w:num w:numId="3">
    <w:abstractNumId w:val="7"/>
  </w:num>
  <w:num w:numId="4">
    <w:abstractNumId w:val="6"/>
  </w:num>
  <w:num w:numId="5">
    <w:abstractNumId w:val="3"/>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415DB"/>
    <w:rsid w:val="000C621A"/>
    <w:rsid w:val="000E55C5"/>
    <w:rsid w:val="001B213F"/>
    <w:rsid w:val="001B2F1F"/>
    <w:rsid w:val="001D032E"/>
    <w:rsid w:val="002C749E"/>
    <w:rsid w:val="002F74EF"/>
    <w:rsid w:val="00344060"/>
    <w:rsid w:val="00436C08"/>
    <w:rsid w:val="0049354C"/>
    <w:rsid w:val="004D6A9B"/>
    <w:rsid w:val="004F14AE"/>
    <w:rsid w:val="005B37C0"/>
    <w:rsid w:val="005E1230"/>
    <w:rsid w:val="005F0F67"/>
    <w:rsid w:val="005F4717"/>
    <w:rsid w:val="00606073"/>
    <w:rsid w:val="00690CD2"/>
    <w:rsid w:val="00720EA0"/>
    <w:rsid w:val="00726EFC"/>
    <w:rsid w:val="00732C93"/>
    <w:rsid w:val="00761C7A"/>
    <w:rsid w:val="007B027C"/>
    <w:rsid w:val="007F37B0"/>
    <w:rsid w:val="00835699"/>
    <w:rsid w:val="008C3344"/>
    <w:rsid w:val="008C4D8F"/>
    <w:rsid w:val="009278D3"/>
    <w:rsid w:val="009629AE"/>
    <w:rsid w:val="009E2E62"/>
    <w:rsid w:val="00A77E4F"/>
    <w:rsid w:val="00AC5B18"/>
    <w:rsid w:val="00B45994"/>
    <w:rsid w:val="00C02D79"/>
    <w:rsid w:val="00C0355E"/>
    <w:rsid w:val="00C27CBA"/>
    <w:rsid w:val="00D526C3"/>
    <w:rsid w:val="00D5286B"/>
    <w:rsid w:val="00E20CE5"/>
    <w:rsid w:val="00EA78A1"/>
    <w:rsid w:val="00F075AC"/>
    <w:rsid w:val="00F451B8"/>
    <w:rsid w:val="01077C33"/>
    <w:rsid w:val="011A5D63"/>
    <w:rsid w:val="01302E15"/>
    <w:rsid w:val="014F1046"/>
    <w:rsid w:val="0160164B"/>
    <w:rsid w:val="01727438"/>
    <w:rsid w:val="01F82AD7"/>
    <w:rsid w:val="02775BE8"/>
    <w:rsid w:val="02AF1C72"/>
    <w:rsid w:val="02D32A17"/>
    <w:rsid w:val="038C1E2A"/>
    <w:rsid w:val="039D4F10"/>
    <w:rsid w:val="03C837AB"/>
    <w:rsid w:val="03D3718A"/>
    <w:rsid w:val="040C7B8D"/>
    <w:rsid w:val="048358F9"/>
    <w:rsid w:val="04CD7F6B"/>
    <w:rsid w:val="06544FAB"/>
    <w:rsid w:val="066D4490"/>
    <w:rsid w:val="069A7E12"/>
    <w:rsid w:val="07455FA1"/>
    <w:rsid w:val="075F2127"/>
    <w:rsid w:val="07995B53"/>
    <w:rsid w:val="07A82FEA"/>
    <w:rsid w:val="07AE14AC"/>
    <w:rsid w:val="08014519"/>
    <w:rsid w:val="08302794"/>
    <w:rsid w:val="084B7A66"/>
    <w:rsid w:val="090504BF"/>
    <w:rsid w:val="09123E97"/>
    <w:rsid w:val="09243C42"/>
    <w:rsid w:val="09295FE7"/>
    <w:rsid w:val="09562DBC"/>
    <w:rsid w:val="095830FB"/>
    <w:rsid w:val="09656115"/>
    <w:rsid w:val="0984370C"/>
    <w:rsid w:val="09C142FE"/>
    <w:rsid w:val="09D56068"/>
    <w:rsid w:val="09E56C79"/>
    <w:rsid w:val="09FF022D"/>
    <w:rsid w:val="0A9F522E"/>
    <w:rsid w:val="0AEE0F7F"/>
    <w:rsid w:val="0AF83D3C"/>
    <w:rsid w:val="0B7550AF"/>
    <w:rsid w:val="0BDA3DA5"/>
    <w:rsid w:val="0BEC35D5"/>
    <w:rsid w:val="0C01741F"/>
    <w:rsid w:val="0C0F058D"/>
    <w:rsid w:val="0C211085"/>
    <w:rsid w:val="0CE05439"/>
    <w:rsid w:val="0CFE4784"/>
    <w:rsid w:val="0D0226E7"/>
    <w:rsid w:val="0D953CB7"/>
    <w:rsid w:val="0E074511"/>
    <w:rsid w:val="0EB648C8"/>
    <w:rsid w:val="0EBB5AE7"/>
    <w:rsid w:val="0EE35DB9"/>
    <w:rsid w:val="0EF8693D"/>
    <w:rsid w:val="0F66262E"/>
    <w:rsid w:val="0F7726DF"/>
    <w:rsid w:val="0F97226F"/>
    <w:rsid w:val="10082EB6"/>
    <w:rsid w:val="10167F35"/>
    <w:rsid w:val="104A1AF6"/>
    <w:rsid w:val="104E26BF"/>
    <w:rsid w:val="107A78DA"/>
    <w:rsid w:val="10E21D49"/>
    <w:rsid w:val="10FB74BF"/>
    <w:rsid w:val="11470A12"/>
    <w:rsid w:val="11DC0AA5"/>
    <w:rsid w:val="12295E7D"/>
    <w:rsid w:val="12F65D70"/>
    <w:rsid w:val="133441B3"/>
    <w:rsid w:val="136F1779"/>
    <w:rsid w:val="13E33120"/>
    <w:rsid w:val="13EC34E5"/>
    <w:rsid w:val="15131A84"/>
    <w:rsid w:val="153579F9"/>
    <w:rsid w:val="15394155"/>
    <w:rsid w:val="1594173F"/>
    <w:rsid w:val="15D97611"/>
    <w:rsid w:val="15FD5E75"/>
    <w:rsid w:val="1600268E"/>
    <w:rsid w:val="16563013"/>
    <w:rsid w:val="16AA7D9E"/>
    <w:rsid w:val="16C90357"/>
    <w:rsid w:val="17144E25"/>
    <w:rsid w:val="17680BE1"/>
    <w:rsid w:val="18077A2D"/>
    <w:rsid w:val="18077CAC"/>
    <w:rsid w:val="185C7A25"/>
    <w:rsid w:val="188D6746"/>
    <w:rsid w:val="18BB5017"/>
    <w:rsid w:val="18E27836"/>
    <w:rsid w:val="18FC310E"/>
    <w:rsid w:val="193F728D"/>
    <w:rsid w:val="197A4BF2"/>
    <w:rsid w:val="19FD1DFB"/>
    <w:rsid w:val="1AD2113B"/>
    <w:rsid w:val="1B853260"/>
    <w:rsid w:val="1BC229A4"/>
    <w:rsid w:val="1BC72FED"/>
    <w:rsid w:val="1BE43605"/>
    <w:rsid w:val="1C00530A"/>
    <w:rsid w:val="1C4F75C5"/>
    <w:rsid w:val="1C5C1105"/>
    <w:rsid w:val="1CE91494"/>
    <w:rsid w:val="1D4E0DCB"/>
    <w:rsid w:val="1D6B2D1C"/>
    <w:rsid w:val="1D9822C6"/>
    <w:rsid w:val="1DA86D22"/>
    <w:rsid w:val="1E5B61F8"/>
    <w:rsid w:val="1E940CF7"/>
    <w:rsid w:val="1EDA0C11"/>
    <w:rsid w:val="1F0B0800"/>
    <w:rsid w:val="1F3C0119"/>
    <w:rsid w:val="1F515AC7"/>
    <w:rsid w:val="1F90436C"/>
    <w:rsid w:val="1FA04B74"/>
    <w:rsid w:val="1FC57184"/>
    <w:rsid w:val="20242025"/>
    <w:rsid w:val="20510A2A"/>
    <w:rsid w:val="20907F89"/>
    <w:rsid w:val="20CA501D"/>
    <w:rsid w:val="21572348"/>
    <w:rsid w:val="21771B35"/>
    <w:rsid w:val="217B6E8F"/>
    <w:rsid w:val="21A400A0"/>
    <w:rsid w:val="21C84315"/>
    <w:rsid w:val="21E5239A"/>
    <w:rsid w:val="22651ECE"/>
    <w:rsid w:val="22801147"/>
    <w:rsid w:val="22D56430"/>
    <w:rsid w:val="234D0922"/>
    <w:rsid w:val="23E8649C"/>
    <w:rsid w:val="23FA5A14"/>
    <w:rsid w:val="24121B8C"/>
    <w:rsid w:val="241F452C"/>
    <w:rsid w:val="2477734D"/>
    <w:rsid w:val="24835BB5"/>
    <w:rsid w:val="24865DB9"/>
    <w:rsid w:val="24F55EFC"/>
    <w:rsid w:val="250F2123"/>
    <w:rsid w:val="253A38C1"/>
    <w:rsid w:val="25812C6B"/>
    <w:rsid w:val="25826536"/>
    <w:rsid w:val="26222264"/>
    <w:rsid w:val="264758BE"/>
    <w:rsid w:val="2679075F"/>
    <w:rsid w:val="26977AEE"/>
    <w:rsid w:val="26A24A66"/>
    <w:rsid w:val="276B23FE"/>
    <w:rsid w:val="277E2C49"/>
    <w:rsid w:val="27B376A4"/>
    <w:rsid w:val="27C22649"/>
    <w:rsid w:val="27F42830"/>
    <w:rsid w:val="280129BA"/>
    <w:rsid w:val="28076765"/>
    <w:rsid w:val="28785866"/>
    <w:rsid w:val="291104DB"/>
    <w:rsid w:val="295E607F"/>
    <w:rsid w:val="298469A3"/>
    <w:rsid w:val="29F4174E"/>
    <w:rsid w:val="29F70D19"/>
    <w:rsid w:val="2A2803A2"/>
    <w:rsid w:val="2A7F518B"/>
    <w:rsid w:val="2AAE7F81"/>
    <w:rsid w:val="2B0F45B6"/>
    <w:rsid w:val="2B28603C"/>
    <w:rsid w:val="2B4746D6"/>
    <w:rsid w:val="2B743FD7"/>
    <w:rsid w:val="2BC8409A"/>
    <w:rsid w:val="2BEE0864"/>
    <w:rsid w:val="2C46102B"/>
    <w:rsid w:val="2C92742C"/>
    <w:rsid w:val="2CDB2FD7"/>
    <w:rsid w:val="2CDD2F33"/>
    <w:rsid w:val="2D1D03C0"/>
    <w:rsid w:val="2DE250B1"/>
    <w:rsid w:val="2E162DED"/>
    <w:rsid w:val="2E7528AB"/>
    <w:rsid w:val="2E8F6794"/>
    <w:rsid w:val="2E996208"/>
    <w:rsid w:val="2F666935"/>
    <w:rsid w:val="2FB248C3"/>
    <w:rsid w:val="2FBB0B9D"/>
    <w:rsid w:val="2FD84CAE"/>
    <w:rsid w:val="301949EE"/>
    <w:rsid w:val="3065142C"/>
    <w:rsid w:val="30A33C7D"/>
    <w:rsid w:val="30E51140"/>
    <w:rsid w:val="30F85C3B"/>
    <w:rsid w:val="30FF690F"/>
    <w:rsid w:val="310C0E96"/>
    <w:rsid w:val="310C6367"/>
    <w:rsid w:val="31283645"/>
    <w:rsid w:val="31384A23"/>
    <w:rsid w:val="317C036E"/>
    <w:rsid w:val="317F1954"/>
    <w:rsid w:val="31A2473F"/>
    <w:rsid w:val="31D64EC5"/>
    <w:rsid w:val="31D96D58"/>
    <w:rsid w:val="31F74677"/>
    <w:rsid w:val="31FC04FB"/>
    <w:rsid w:val="32230873"/>
    <w:rsid w:val="32317ABF"/>
    <w:rsid w:val="323510FC"/>
    <w:rsid w:val="32353291"/>
    <w:rsid w:val="32365CF6"/>
    <w:rsid w:val="32C4309F"/>
    <w:rsid w:val="331C3A9A"/>
    <w:rsid w:val="33361C3D"/>
    <w:rsid w:val="335D1CC5"/>
    <w:rsid w:val="339139D3"/>
    <w:rsid w:val="34121EC5"/>
    <w:rsid w:val="342F3BA3"/>
    <w:rsid w:val="34802290"/>
    <w:rsid w:val="34993E20"/>
    <w:rsid w:val="354444AC"/>
    <w:rsid w:val="35AE3564"/>
    <w:rsid w:val="361F1786"/>
    <w:rsid w:val="363A3E94"/>
    <w:rsid w:val="36642A3A"/>
    <w:rsid w:val="366C3230"/>
    <w:rsid w:val="369C312F"/>
    <w:rsid w:val="36F626F5"/>
    <w:rsid w:val="371F40D7"/>
    <w:rsid w:val="379A126C"/>
    <w:rsid w:val="379D5206"/>
    <w:rsid w:val="386B7F2F"/>
    <w:rsid w:val="38730223"/>
    <w:rsid w:val="38B80387"/>
    <w:rsid w:val="39806B4E"/>
    <w:rsid w:val="399E325D"/>
    <w:rsid w:val="399F0A89"/>
    <w:rsid w:val="3A04659B"/>
    <w:rsid w:val="3A9A1B01"/>
    <w:rsid w:val="3AC059F9"/>
    <w:rsid w:val="3AE75FCB"/>
    <w:rsid w:val="3B44235C"/>
    <w:rsid w:val="3B4E1694"/>
    <w:rsid w:val="3B790D77"/>
    <w:rsid w:val="3BA62150"/>
    <w:rsid w:val="3BD07F9E"/>
    <w:rsid w:val="3BF369DE"/>
    <w:rsid w:val="3BFF5BFB"/>
    <w:rsid w:val="3C1A0CB4"/>
    <w:rsid w:val="3C7D478B"/>
    <w:rsid w:val="3C9167E0"/>
    <w:rsid w:val="3CB4260C"/>
    <w:rsid w:val="3CDE0EAF"/>
    <w:rsid w:val="3D515BBF"/>
    <w:rsid w:val="3DD2267A"/>
    <w:rsid w:val="3E1723C3"/>
    <w:rsid w:val="3E52548F"/>
    <w:rsid w:val="3EB01D9F"/>
    <w:rsid w:val="3EEA1576"/>
    <w:rsid w:val="3F244EC9"/>
    <w:rsid w:val="3F561652"/>
    <w:rsid w:val="40576469"/>
    <w:rsid w:val="405D42B8"/>
    <w:rsid w:val="40AC51FF"/>
    <w:rsid w:val="40B830C1"/>
    <w:rsid w:val="41140916"/>
    <w:rsid w:val="41D100B9"/>
    <w:rsid w:val="41DC1814"/>
    <w:rsid w:val="4214123F"/>
    <w:rsid w:val="42397034"/>
    <w:rsid w:val="42705CC0"/>
    <w:rsid w:val="429D007B"/>
    <w:rsid w:val="4309648D"/>
    <w:rsid w:val="431F7F95"/>
    <w:rsid w:val="438501B2"/>
    <w:rsid w:val="43DB04EB"/>
    <w:rsid w:val="44336526"/>
    <w:rsid w:val="44FE2E57"/>
    <w:rsid w:val="450E0E77"/>
    <w:rsid w:val="45153A1F"/>
    <w:rsid w:val="45746617"/>
    <w:rsid w:val="45793729"/>
    <w:rsid w:val="45ED672C"/>
    <w:rsid w:val="45FA69EE"/>
    <w:rsid w:val="466850F2"/>
    <w:rsid w:val="46734DAD"/>
    <w:rsid w:val="470F50FB"/>
    <w:rsid w:val="47A65F99"/>
    <w:rsid w:val="48760998"/>
    <w:rsid w:val="48881000"/>
    <w:rsid w:val="488A79AF"/>
    <w:rsid w:val="488B792F"/>
    <w:rsid w:val="48BC6316"/>
    <w:rsid w:val="48D81343"/>
    <w:rsid w:val="492846DE"/>
    <w:rsid w:val="496C0725"/>
    <w:rsid w:val="4A147B86"/>
    <w:rsid w:val="4A6D6AAB"/>
    <w:rsid w:val="4ACE20F5"/>
    <w:rsid w:val="4AF45DC4"/>
    <w:rsid w:val="4B39541F"/>
    <w:rsid w:val="4B5633BD"/>
    <w:rsid w:val="4BC74E87"/>
    <w:rsid w:val="4C0E2493"/>
    <w:rsid w:val="4C113079"/>
    <w:rsid w:val="4C1F06FA"/>
    <w:rsid w:val="4C515F9F"/>
    <w:rsid w:val="4CCD2C28"/>
    <w:rsid w:val="4CFE71B3"/>
    <w:rsid w:val="4DA16ADE"/>
    <w:rsid w:val="4DE8619F"/>
    <w:rsid w:val="4DF51062"/>
    <w:rsid w:val="4E015F16"/>
    <w:rsid w:val="4E362286"/>
    <w:rsid w:val="4E555CA6"/>
    <w:rsid w:val="4E860383"/>
    <w:rsid w:val="4EB47AF9"/>
    <w:rsid w:val="4EB600E0"/>
    <w:rsid w:val="4F1B67C9"/>
    <w:rsid w:val="4F8944AF"/>
    <w:rsid w:val="4FC34047"/>
    <w:rsid w:val="4FD76F97"/>
    <w:rsid w:val="50247B60"/>
    <w:rsid w:val="50380ABA"/>
    <w:rsid w:val="50B163AF"/>
    <w:rsid w:val="510A0D9D"/>
    <w:rsid w:val="51524190"/>
    <w:rsid w:val="51724C3F"/>
    <w:rsid w:val="51A60C76"/>
    <w:rsid w:val="51F966FC"/>
    <w:rsid w:val="52134095"/>
    <w:rsid w:val="52312783"/>
    <w:rsid w:val="526123FD"/>
    <w:rsid w:val="52826DAC"/>
    <w:rsid w:val="52AD0E8E"/>
    <w:rsid w:val="52BD3BE5"/>
    <w:rsid w:val="52C45947"/>
    <w:rsid w:val="52C80673"/>
    <w:rsid w:val="52E1554F"/>
    <w:rsid w:val="52EB710C"/>
    <w:rsid w:val="52F07DFC"/>
    <w:rsid w:val="53DC329D"/>
    <w:rsid w:val="53FA5DCE"/>
    <w:rsid w:val="547905AA"/>
    <w:rsid w:val="55424374"/>
    <w:rsid w:val="555A5408"/>
    <w:rsid w:val="55BB3BD0"/>
    <w:rsid w:val="56BB1A3C"/>
    <w:rsid w:val="56E10D7D"/>
    <w:rsid w:val="572D2A5B"/>
    <w:rsid w:val="573471D2"/>
    <w:rsid w:val="57837521"/>
    <w:rsid w:val="58121BBD"/>
    <w:rsid w:val="586B71BC"/>
    <w:rsid w:val="589231C8"/>
    <w:rsid w:val="58BF734E"/>
    <w:rsid w:val="58CC5BAC"/>
    <w:rsid w:val="592106AE"/>
    <w:rsid w:val="59457F9D"/>
    <w:rsid w:val="594D4C89"/>
    <w:rsid w:val="597E7592"/>
    <w:rsid w:val="599D3C8A"/>
    <w:rsid w:val="59B3425C"/>
    <w:rsid w:val="59DA0E48"/>
    <w:rsid w:val="59F50871"/>
    <w:rsid w:val="59F969E3"/>
    <w:rsid w:val="5A2506D5"/>
    <w:rsid w:val="5A461C11"/>
    <w:rsid w:val="5A5B5812"/>
    <w:rsid w:val="5A7E5C4F"/>
    <w:rsid w:val="5B4C0FED"/>
    <w:rsid w:val="5B620028"/>
    <w:rsid w:val="5B9F2D78"/>
    <w:rsid w:val="5BFC683B"/>
    <w:rsid w:val="5C91188E"/>
    <w:rsid w:val="5C986DFD"/>
    <w:rsid w:val="5CBD2B03"/>
    <w:rsid w:val="5CBE3035"/>
    <w:rsid w:val="5CC40525"/>
    <w:rsid w:val="5D3A4BD9"/>
    <w:rsid w:val="5D3D7C30"/>
    <w:rsid w:val="5DC0137C"/>
    <w:rsid w:val="5E220F75"/>
    <w:rsid w:val="5E6B7D23"/>
    <w:rsid w:val="5EAE2404"/>
    <w:rsid w:val="5EDC5FF1"/>
    <w:rsid w:val="5EED5641"/>
    <w:rsid w:val="5F2375ED"/>
    <w:rsid w:val="5F3C12FF"/>
    <w:rsid w:val="5F6B5097"/>
    <w:rsid w:val="5F7D4D16"/>
    <w:rsid w:val="5FD27B73"/>
    <w:rsid w:val="60733255"/>
    <w:rsid w:val="60866C2D"/>
    <w:rsid w:val="60AE1401"/>
    <w:rsid w:val="612805E1"/>
    <w:rsid w:val="61306EDC"/>
    <w:rsid w:val="61407126"/>
    <w:rsid w:val="619A4202"/>
    <w:rsid w:val="61AD1F23"/>
    <w:rsid w:val="61BF72C0"/>
    <w:rsid w:val="61CB0FA5"/>
    <w:rsid w:val="62730F7B"/>
    <w:rsid w:val="62953005"/>
    <w:rsid w:val="62A27631"/>
    <w:rsid w:val="62C17A7B"/>
    <w:rsid w:val="62FC3619"/>
    <w:rsid w:val="6350086E"/>
    <w:rsid w:val="6364313A"/>
    <w:rsid w:val="636F09B8"/>
    <w:rsid w:val="6420020E"/>
    <w:rsid w:val="64A81D2B"/>
    <w:rsid w:val="6513595F"/>
    <w:rsid w:val="654D22AA"/>
    <w:rsid w:val="659B0C70"/>
    <w:rsid w:val="66006D42"/>
    <w:rsid w:val="663A47B5"/>
    <w:rsid w:val="66432E39"/>
    <w:rsid w:val="66590F89"/>
    <w:rsid w:val="66A95111"/>
    <w:rsid w:val="66B50FD2"/>
    <w:rsid w:val="66EB704A"/>
    <w:rsid w:val="67472502"/>
    <w:rsid w:val="67523E04"/>
    <w:rsid w:val="67906760"/>
    <w:rsid w:val="67D510FF"/>
    <w:rsid w:val="682355A6"/>
    <w:rsid w:val="68541712"/>
    <w:rsid w:val="68B702B5"/>
    <w:rsid w:val="68F550AB"/>
    <w:rsid w:val="692A4234"/>
    <w:rsid w:val="69D967D1"/>
    <w:rsid w:val="6A6A42B6"/>
    <w:rsid w:val="6ADC0A6B"/>
    <w:rsid w:val="6AE1319A"/>
    <w:rsid w:val="6AFA14FA"/>
    <w:rsid w:val="6B212E61"/>
    <w:rsid w:val="6B590E08"/>
    <w:rsid w:val="6B6E36CD"/>
    <w:rsid w:val="6BA06610"/>
    <w:rsid w:val="6BB957B0"/>
    <w:rsid w:val="6BCD5068"/>
    <w:rsid w:val="6BEB40A9"/>
    <w:rsid w:val="6C021860"/>
    <w:rsid w:val="6C39327C"/>
    <w:rsid w:val="6C3E2AE1"/>
    <w:rsid w:val="6C435618"/>
    <w:rsid w:val="6C597B84"/>
    <w:rsid w:val="6C68265A"/>
    <w:rsid w:val="6CB04215"/>
    <w:rsid w:val="6CEE5E4F"/>
    <w:rsid w:val="6D117F87"/>
    <w:rsid w:val="6D16450C"/>
    <w:rsid w:val="6D6537A5"/>
    <w:rsid w:val="6D816AE7"/>
    <w:rsid w:val="6DC2610C"/>
    <w:rsid w:val="6DD2700B"/>
    <w:rsid w:val="6E284011"/>
    <w:rsid w:val="6E612755"/>
    <w:rsid w:val="6E90735F"/>
    <w:rsid w:val="6EEC1804"/>
    <w:rsid w:val="6F0B2A09"/>
    <w:rsid w:val="6F6F1FE3"/>
    <w:rsid w:val="6F781FC5"/>
    <w:rsid w:val="6F91484E"/>
    <w:rsid w:val="6F930554"/>
    <w:rsid w:val="6FDD7905"/>
    <w:rsid w:val="703E0D95"/>
    <w:rsid w:val="70533B97"/>
    <w:rsid w:val="70B679CD"/>
    <w:rsid w:val="70D72EA9"/>
    <w:rsid w:val="70FE241A"/>
    <w:rsid w:val="7104744D"/>
    <w:rsid w:val="713B111A"/>
    <w:rsid w:val="717520BB"/>
    <w:rsid w:val="71797686"/>
    <w:rsid w:val="718167B7"/>
    <w:rsid w:val="71C241D1"/>
    <w:rsid w:val="722533F8"/>
    <w:rsid w:val="72314556"/>
    <w:rsid w:val="73762935"/>
    <w:rsid w:val="73CA1A40"/>
    <w:rsid w:val="73DE2A18"/>
    <w:rsid w:val="742C2C2D"/>
    <w:rsid w:val="7457037A"/>
    <w:rsid w:val="74FD3B6F"/>
    <w:rsid w:val="75465AB3"/>
    <w:rsid w:val="759F3CEA"/>
    <w:rsid w:val="75E22227"/>
    <w:rsid w:val="76164725"/>
    <w:rsid w:val="76190ABD"/>
    <w:rsid w:val="762D12C2"/>
    <w:rsid w:val="767F17EA"/>
    <w:rsid w:val="76C30454"/>
    <w:rsid w:val="77824A38"/>
    <w:rsid w:val="78141A18"/>
    <w:rsid w:val="78527978"/>
    <w:rsid w:val="787D3C56"/>
    <w:rsid w:val="790B5EDC"/>
    <w:rsid w:val="793B627B"/>
    <w:rsid w:val="795723C3"/>
    <w:rsid w:val="796C2371"/>
    <w:rsid w:val="7A9E0310"/>
    <w:rsid w:val="7AAE1CA3"/>
    <w:rsid w:val="7AC62985"/>
    <w:rsid w:val="7BD35163"/>
    <w:rsid w:val="7BEE3984"/>
    <w:rsid w:val="7BFB0036"/>
    <w:rsid w:val="7D38050F"/>
    <w:rsid w:val="7D617565"/>
    <w:rsid w:val="7D903C8D"/>
    <w:rsid w:val="7E856124"/>
    <w:rsid w:val="7EA1710A"/>
    <w:rsid w:val="7EBA6DD6"/>
    <w:rsid w:val="7EDC57B7"/>
    <w:rsid w:val="7EF86245"/>
    <w:rsid w:val="7F142ECB"/>
    <w:rsid w:val="7F1A038D"/>
    <w:rsid w:val="7F713C2F"/>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6">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7">
    <w:name w:val="annotation subject"/>
    <w:basedOn w:val="8"/>
    <w:next w:val="8"/>
    <w:link w:val="61"/>
    <w:qFormat/>
    <w:uiPriority w:val="0"/>
    <w:rPr>
      <w:b/>
      <w:bCs/>
    </w:rPr>
  </w:style>
  <w:style w:type="paragraph" w:styleId="8">
    <w:name w:val="annotation text"/>
    <w:basedOn w:val="1"/>
    <w:link w:val="60"/>
    <w:qFormat/>
    <w:uiPriority w:val="0"/>
    <w:pPr>
      <w:jc w:val="left"/>
    </w:pPr>
  </w:style>
  <w:style w:type="paragraph" w:styleId="9">
    <w:name w:val="Body Text First Indent"/>
    <w:basedOn w:val="10"/>
    <w:next w:val="11"/>
    <w:unhideWhenUsed/>
    <w:qFormat/>
    <w:uiPriority w:val="0"/>
    <w:pPr>
      <w:spacing w:after="120"/>
      <w:ind w:firstLine="420" w:firstLineChars="100"/>
    </w:pPr>
    <w:rPr>
      <w:rFonts w:ascii="Calibri" w:hAnsi="Calibri"/>
      <w:sz w:val="21"/>
      <w:szCs w:val="22"/>
    </w:rPr>
  </w:style>
  <w:style w:type="paragraph" w:styleId="10">
    <w:name w:val="Body Text"/>
    <w:basedOn w:val="1"/>
    <w:next w:val="9"/>
    <w:qFormat/>
    <w:uiPriority w:val="0"/>
    <w:rPr>
      <w:rFonts w:ascii="Arial" w:hAnsi="Arial"/>
      <w:bCs/>
      <w:sz w:val="24"/>
    </w:rPr>
  </w:style>
  <w:style w:type="paragraph" w:styleId="11">
    <w:name w:val="toc 6"/>
    <w:basedOn w:val="1"/>
    <w:next w:val="1"/>
    <w:qFormat/>
    <w:uiPriority w:val="0"/>
    <w:pPr>
      <w:ind w:left="1400"/>
    </w:pPr>
    <w:rPr>
      <w:rFonts w:ascii="Calibri"/>
      <w:sz w:val="18"/>
      <w:szCs w:val="18"/>
    </w:rPr>
  </w:style>
  <w:style w:type="paragraph" w:styleId="12">
    <w:name w:val="Normal Indent"/>
    <w:basedOn w:val="1"/>
    <w:qFormat/>
    <w:uiPriority w:val="0"/>
    <w:pPr>
      <w:ind w:firstLine="420" w:firstLineChars="200"/>
    </w:pPr>
  </w:style>
  <w:style w:type="paragraph" w:styleId="13">
    <w:name w:val="Body Text Indent"/>
    <w:basedOn w:val="1"/>
    <w:qFormat/>
    <w:uiPriority w:val="0"/>
    <w:pPr>
      <w:spacing w:after="120"/>
      <w:ind w:left="420" w:leftChars="200"/>
    </w:pPr>
  </w:style>
  <w:style w:type="paragraph" w:styleId="14">
    <w:name w:val="List 2"/>
    <w:basedOn w:val="1"/>
    <w:qFormat/>
    <w:uiPriority w:val="0"/>
    <w:pPr>
      <w:ind w:left="100" w:leftChars="200" w:hanging="200" w:hangingChars="200"/>
    </w:pPr>
  </w:style>
  <w:style w:type="paragraph" w:styleId="15">
    <w:name w:val="Block Text"/>
    <w:basedOn w:val="1"/>
    <w:qFormat/>
    <w:uiPriority w:val="0"/>
    <w:pPr>
      <w:spacing w:before="156" w:beforeLines="50" w:after="156" w:afterLines="50"/>
      <w:ind w:left="426" w:right="-11" w:hanging="426" w:hangingChars="203"/>
    </w:pPr>
    <w:rPr>
      <w:rFonts w:eastAsia="楷体_GB2312"/>
    </w:rPr>
  </w:style>
  <w:style w:type="paragraph" w:styleId="16">
    <w:name w:val="Plain Text"/>
    <w:basedOn w:val="1"/>
    <w:next w:val="17"/>
    <w:qFormat/>
    <w:uiPriority w:val="0"/>
    <w:rPr>
      <w:rFonts w:ascii="宋体" w:hAnsi="Courier New"/>
      <w:szCs w:val="20"/>
    </w:rPr>
  </w:style>
  <w:style w:type="paragraph" w:styleId="17">
    <w:name w:val="toc 2"/>
    <w:basedOn w:val="1"/>
    <w:next w:val="1"/>
    <w:qFormat/>
    <w:uiPriority w:val="0"/>
    <w:pPr>
      <w:ind w:left="420" w:leftChars="200"/>
    </w:pPr>
    <w:rPr>
      <w:szCs w:val="20"/>
    </w:rPr>
  </w:style>
  <w:style w:type="paragraph" w:styleId="18">
    <w:name w:val="Date"/>
    <w:basedOn w:val="1"/>
    <w:next w:val="1"/>
    <w:qFormat/>
    <w:uiPriority w:val="0"/>
    <w:pPr>
      <w:ind w:left="100" w:leftChars="2500"/>
    </w:pPr>
    <w:rPr>
      <w:color w:val="000000"/>
      <w:sz w:val="24"/>
    </w:rPr>
  </w:style>
  <w:style w:type="paragraph" w:styleId="19">
    <w:name w:val="Body Text Indent 2"/>
    <w:basedOn w:val="1"/>
    <w:qFormat/>
    <w:uiPriority w:val="0"/>
    <w:pPr>
      <w:widowControl/>
      <w:spacing w:line="480" w:lineRule="atLeast"/>
      <w:ind w:firstLine="480"/>
    </w:pPr>
    <w:rPr>
      <w:rFonts w:ascii="宋体"/>
      <w:kern w:val="0"/>
      <w:sz w:val="24"/>
      <w:szCs w:val="20"/>
    </w:rPr>
  </w:style>
  <w:style w:type="paragraph" w:styleId="20">
    <w:name w:val="Balloon Text"/>
    <w:basedOn w:val="1"/>
    <w:link w:val="55"/>
    <w:qFormat/>
    <w:uiPriority w:val="0"/>
    <w:rPr>
      <w:sz w:val="18"/>
      <w:szCs w:val="18"/>
    </w:r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rPr>
      <w:szCs w:val="20"/>
    </w:rPr>
  </w:style>
  <w:style w:type="paragraph" w:styleId="24">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5">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character" w:styleId="27">
    <w:name w:val="Strong"/>
    <w:basedOn w:val="26"/>
    <w:qFormat/>
    <w:uiPriority w:val="0"/>
    <w:rPr>
      <w:b/>
      <w:bCs/>
    </w:rPr>
  </w:style>
  <w:style w:type="character" w:styleId="28">
    <w:name w:val="page number"/>
    <w:basedOn w:val="26"/>
    <w:qFormat/>
    <w:uiPriority w:val="0"/>
  </w:style>
  <w:style w:type="character" w:styleId="29">
    <w:name w:val="FollowedHyperlink"/>
    <w:basedOn w:val="26"/>
    <w:qFormat/>
    <w:uiPriority w:val="0"/>
    <w:rPr>
      <w:color w:val="4A4A4A"/>
      <w:u w:val="none"/>
    </w:rPr>
  </w:style>
  <w:style w:type="character" w:styleId="30">
    <w:name w:val="Emphasis"/>
    <w:basedOn w:val="26"/>
    <w:qFormat/>
    <w:uiPriority w:val="0"/>
  </w:style>
  <w:style w:type="character" w:styleId="31">
    <w:name w:val="HTML Definition"/>
    <w:basedOn w:val="26"/>
    <w:uiPriority w:val="0"/>
  </w:style>
  <w:style w:type="character" w:styleId="32">
    <w:name w:val="HTML Typewriter"/>
    <w:basedOn w:val="26"/>
    <w:uiPriority w:val="0"/>
    <w:rPr>
      <w:rFonts w:hint="default" w:ascii="monospace" w:hAnsi="monospace" w:eastAsia="monospace" w:cs="monospace"/>
      <w:sz w:val="20"/>
    </w:rPr>
  </w:style>
  <w:style w:type="character" w:styleId="33">
    <w:name w:val="HTML Acronym"/>
    <w:basedOn w:val="26"/>
    <w:uiPriority w:val="0"/>
  </w:style>
  <w:style w:type="character" w:styleId="34">
    <w:name w:val="HTML Variable"/>
    <w:basedOn w:val="26"/>
    <w:uiPriority w:val="0"/>
  </w:style>
  <w:style w:type="character" w:styleId="35">
    <w:name w:val="Hyperlink"/>
    <w:qFormat/>
    <w:uiPriority w:val="0"/>
    <w:rPr>
      <w:color w:val="0000FF"/>
      <w:u w:val="single"/>
    </w:rPr>
  </w:style>
  <w:style w:type="character" w:styleId="36">
    <w:name w:val="HTML Code"/>
    <w:basedOn w:val="26"/>
    <w:qFormat/>
    <w:uiPriority w:val="0"/>
    <w:rPr>
      <w:rFonts w:hint="default" w:ascii="monospace" w:hAnsi="monospace" w:eastAsia="monospace" w:cs="monospace"/>
      <w:sz w:val="20"/>
    </w:rPr>
  </w:style>
  <w:style w:type="character" w:styleId="37">
    <w:name w:val="annotation reference"/>
    <w:basedOn w:val="26"/>
    <w:qFormat/>
    <w:uiPriority w:val="0"/>
    <w:rPr>
      <w:sz w:val="21"/>
      <w:szCs w:val="21"/>
    </w:rPr>
  </w:style>
  <w:style w:type="character" w:styleId="38">
    <w:name w:val="HTML Cite"/>
    <w:basedOn w:val="26"/>
    <w:uiPriority w:val="0"/>
  </w:style>
  <w:style w:type="character" w:styleId="39">
    <w:name w:val="HTML Keyboard"/>
    <w:basedOn w:val="26"/>
    <w:uiPriority w:val="0"/>
    <w:rPr>
      <w:rFonts w:hint="default" w:ascii="monospace" w:hAnsi="monospace" w:eastAsia="monospace" w:cs="monospace"/>
      <w:sz w:val="20"/>
    </w:rPr>
  </w:style>
  <w:style w:type="character" w:styleId="40">
    <w:name w:val="HTML Sample"/>
    <w:basedOn w:val="26"/>
    <w:uiPriority w:val="0"/>
    <w:rPr>
      <w:rFonts w:ascii="monospace" w:hAnsi="monospace" w:eastAsia="monospace" w:cs="monospace"/>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43">
    <w:name w:val="表格文字"/>
    <w:basedOn w:val="16"/>
    <w:next w:val="10"/>
    <w:qFormat/>
    <w:uiPriority w:val="0"/>
    <w:pPr>
      <w:adjustRightInd w:val="0"/>
      <w:spacing w:line="420" w:lineRule="atLeast"/>
      <w:jc w:val="left"/>
      <w:textAlignment w:val="baseline"/>
    </w:pPr>
    <w:rPr>
      <w:rFonts w:ascii="Times New Roman" w:hAnsi="Times New Roman"/>
      <w:kern w:val="0"/>
      <w:szCs w:val="24"/>
    </w:rPr>
  </w:style>
  <w:style w:type="paragraph" w:customStyle="1" w:styleId="44">
    <w:name w:val="zw1"/>
    <w:basedOn w:val="1"/>
    <w:qFormat/>
    <w:uiPriority w:val="0"/>
    <w:pPr>
      <w:spacing w:line="360" w:lineRule="auto"/>
      <w:ind w:firstLine="560" w:firstLineChars="200"/>
    </w:pPr>
    <w:rPr>
      <w:sz w:val="28"/>
      <w:szCs w:val="20"/>
    </w:rPr>
  </w:style>
  <w:style w:type="paragraph" w:customStyle="1" w:styleId="45">
    <w:name w:val="正文缩进2"/>
    <w:basedOn w:val="1"/>
    <w:next w:val="1"/>
    <w:qFormat/>
    <w:uiPriority w:val="0"/>
    <w:pPr>
      <w:spacing w:line="500" w:lineRule="exact"/>
      <w:ind w:firstLine="567"/>
    </w:pPr>
    <w:rPr>
      <w:sz w:val="24"/>
      <w:szCs w:val="20"/>
    </w:rPr>
  </w:style>
  <w:style w:type="paragraph" w:customStyle="1" w:styleId="46">
    <w:name w:val="列出段落1"/>
    <w:basedOn w:val="1"/>
    <w:qFormat/>
    <w:uiPriority w:val="0"/>
    <w:pPr>
      <w:ind w:firstLine="420" w:firstLineChars="200"/>
    </w:pPr>
    <w:rPr>
      <w:rFonts w:cs="Arial"/>
    </w:rPr>
  </w:style>
  <w:style w:type="paragraph" w:customStyle="1" w:styleId="47">
    <w:name w:val="表内文字"/>
    <w:basedOn w:val="1"/>
    <w:qFormat/>
    <w:uiPriority w:val="0"/>
    <w:pPr>
      <w:spacing w:line="500" w:lineRule="atLeast"/>
      <w:jc w:val="center"/>
    </w:pPr>
    <w:rPr>
      <w:rFonts w:ascii="Arial" w:hAnsi="Arial" w:eastAsia="楷体_GB2312" w:cs="Arial"/>
      <w:sz w:val="28"/>
    </w:rPr>
  </w:style>
  <w:style w:type="paragraph" w:customStyle="1" w:styleId="48">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49">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50">
    <w:name w:val="font41"/>
    <w:basedOn w:val="26"/>
    <w:qFormat/>
    <w:uiPriority w:val="0"/>
    <w:rPr>
      <w:rFonts w:hint="eastAsia" w:ascii="宋体" w:hAnsi="宋体" w:eastAsia="宋体" w:cs="宋体"/>
      <w:color w:val="000000"/>
      <w:sz w:val="22"/>
      <w:szCs w:val="22"/>
      <w:u w:val="none"/>
    </w:rPr>
  </w:style>
  <w:style w:type="character" w:customStyle="1" w:styleId="51">
    <w:name w:val="font11"/>
    <w:basedOn w:val="26"/>
    <w:qFormat/>
    <w:uiPriority w:val="0"/>
    <w:rPr>
      <w:rFonts w:ascii="Calibri" w:hAnsi="Calibri" w:cs="Calibri"/>
      <w:color w:val="000000"/>
      <w:sz w:val="21"/>
      <w:szCs w:val="21"/>
      <w:u w:val="none"/>
    </w:rPr>
  </w:style>
  <w:style w:type="character" w:customStyle="1" w:styleId="52">
    <w:name w:val="font01"/>
    <w:basedOn w:val="26"/>
    <w:qFormat/>
    <w:uiPriority w:val="0"/>
    <w:rPr>
      <w:rFonts w:hint="eastAsia" w:ascii="宋体" w:hAnsi="宋体" w:eastAsia="宋体" w:cs="宋体"/>
      <w:color w:val="000000"/>
      <w:sz w:val="21"/>
      <w:szCs w:val="21"/>
      <w:u w:val="none"/>
    </w:rPr>
  </w:style>
  <w:style w:type="paragraph" w:customStyle="1" w:styleId="53">
    <w:name w:val="纯文本1"/>
    <w:qFormat/>
    <w:uiPriority w:val="0"/>
    <w:rPr>
      <w:rFonts w:hint="eastAsia" w:ascii="宋体" w:hAnsi="Courier New" w:eastAsia="宋体" w:cs="Times New Roman"/>
      <w:kern w:val="2"/>
      <w:sz w:val="21"/>
      <w:lang w:val="en-US" w:eastAsia="zh-CN" w:bidi="ar-SA"/>
    </w:rPr>
  </w:style>
  <w:style w:type="paragraph" w:customStyle="1" w:styleId="54">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55">
    <w:name w:val="批注框文本 Char"/>
    <w:basedOn w:val="26"/>
    <w:link w:val="20"/>
    <w:qFormat/>
    <w:uiPriority w:val="0"/>
    <w:rPr>
      <w:kern w:val="2"/>
      <w:sz w:val="18"/>
      <w:szCs w:val="18"/>
    </w:rPr>
  </w:style>
  <w:style w:type="character" w:customStyle="1" w:styleId="56">
    <w:name w:val="apple-converted-space"/>
    <w:basedOn w:val="26"/>
    <w:qFormat/>
    <w:uiPriority w:val="0"/>
  </w:style>
  <w:style w:type="paragraph" w:customStyle="1" w:styleId="57">
    <w:name w:val="lvkai正文"/>
    <w:basedOn w:val="1"/>
    <w:qFormat/>
    <w:uiPriority w:val="0"/>
    <w:pPr>
      <w:spacing w:line="360" w:lineRule="auto"/>
      <w:ind w:firstLine="964" w:firstLineChars="200"/>
      <w:jc w:val="left"/>
    </w:pPr>
    <w:rPr>
      <w:rFonts w:ascii="Calibri" w:hAnsi="Calibri"/>
      <w:sz w:val="24"/>
    </w:rPr>
  </w:style>
  <w:style w:type="paragraph" w:customStyle="1" w:styleId="58">
    <w:name w:val="lvkai标题3"/>
    <w:basedOn w:val="59"/>
    <w:next w:val="57"/>
    <w:qFormat/>
    <w:uiPriority w:val="0"/>
    <w:pPr>
      <w:numPr>
        <w:ilvl w:val="2"/>
      </w:numPr>
      <w:jc w:val="left"/>
      <w:outlineLvl w:val="2"/>
    </w:pPr>
    <w:rPr>
      <w:sz w:val="28"/>
    </w:rPr>
  </w:style>
  <w:style w:type="paragraph" w:customStyle="1" w:styleId="59">
    <w:name w:val="lvkai标题1"/>
    <w:basedOn w:val="2"/>
    <w:next w:val="57"/>
    <w:qFormat/>
    <w:uiPriority w:val="0"/>
    <w:pPr>
      <w:numPr>
        <w:ilvl w:val="0"/>
        <w:numId w:val="1"/>
      </w:numPr>
      <w:spacing w:line="360" w:lineRule="auto"/>
    </w:pPr>
    <w:rPr>
      <w:rFonts w:ascii="Calibri" w:hAnsi="Calibri"/>
    </w:rPr>
  </w:style>
  <w:style w:type="character" w:customStyle="1" w:styleId="60">
    <w:name w:val="批注文字 Char"/>
    <w:basedOn w:val="26"/>
    <w:link w:val="8"/>
    <w:qFormat/>
    <w:uiPriority w:val="0"/>
    <w:rPr>
      <w:kern w:val="2"/>
      <w:sz w:val="21"/>
      <w:szCs w:val="24"/>
    </w:rPr>
  </w:style>
  <w:style w:type="character" w:customStyle="1" w:styleId="61">
    <w:name w:val="批注主题 Char"/>
    <w:basedOn w:val="60"/>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79</Pages>
  <Words>7206</Words>
  <Characters>41079</Characters>
  <Lines>342</Lines>
  <Paragraphs>96</Paragraphs>
  <TotalTime>0</TotalTime>
  <ScaleCrop>false</ScaleCrop>
  <LinksUpToDate>false</LinksUpToDate>
  <CharactersWithSpaces>48189</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2020-10-14T13:51:00Z</dcterms:created>
  <dc:creator>Arthur</dc:creator>
  <cp:lastModifiedBy>NTKO</cp:lastModifiedBy>
  <cp:lastPrinted>2020-10-21T01:30:00Z</cp:lastPrinted>
  <dcterms:modified xsi:type="dcterms:W3CDTF">2020-10-23T02:22:22Z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